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E2257" w14:textId="20D3D5DF" w:rsidR="007E2BFD" w:rsidRDefault="00D8752D">
      <w:r>
        <w:rPr>
          <w:noProof/>
        </w:rPr>
        <w:drawing>
          <wp:inline distT="0" distB="0" distL="0" distR="0" wp14:anchorId="2A295E1C" wp14:editId="521593CC">
            <wp:extent cx="3230880" cy="624840"/>
            <wp:effectExtent l="0" t="0" r="762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30880" cy="624840"/>
                    </a:xfrm>
                    <a:prstGeom prst="rect">
                      <a:avLst/>
                    </a:prstGeom>
                    <a:noFill/>
                    <a:ln>
                      <a:noFill/>
                    </a:ln>
                  </pic:spPr>
                </pic:pic>
              </a:graphicData>
            </a:graphic>
          </wp:inline>
        </w:drawing>
      </w:r>
    </w:p>
    <w:p w14:paraId="510B74BE" w14:textId="74B21CA4" w:rsidR="007E2BFD" w:rsidRDefault="007E2BFD"/>
    <w:p w14:paraId="7001BF8E" w14:textId="0E1E8DB8" w:rsidR="007E2BFD" w:rsidRDefault="007E2BFD"/>
    <w:p w14:paraId="452F8B4F" w14:textId="4C0029C5" w:rsidR="007E2BFD" w:rsidRDefault="007E2BFD"/>
    <w:p w14:paraId="3D4F3CC3" w14:textId="79C0A0E7" w:rsidR="007E2BFD" w:rsidRDefault="007E2BFD"/>
    <w:p w14:paraId="6DE9B666" w14:textId="3A076A41" w:rsidR="00D8752D" w:rsidRDefault="00D8752D"/>
    <w:p w14:paraId="49841B8D" w14:textId="6C21C530" w:rsidR="00D8752D" w:rsidRDefault="00D8752D"/>
    <w:p w14:paraId="6696C1E3" w14:textId="4099209E" w:rsidR="00D8752D" w:rsidRDefault="00D8752D"/>
    <w:p w14:paraId="4D85309A" w14:textId="09A670AB" w:rsidR="00D8752D" w:rsidRDefault="00D8752D"/>
    <w:p w14:paraId="513D191A" w14:textId="2FF8D123" w:rsidR="00D8752D" w:rsidRDefault="00D8752D"/>
    <w:p w14:paraId="777C0B9F" w14:textId="6CD6BFC8" w:rsidR="00D8752D" w:rsidRDefault="00D8752D"/>
    <w:p w14:paraId="05884097" w14:textId="572287BE" w:rsidR="00D8752D" w:rsidRDefault="00D8752D"/>
    <w:p w14:paraId="62BE6847" w14:textId="77777777" w:rsidR="00D8752D" w:rsidRDefault="00D8752D"/>
    <w:p w14:paraId="201BD9AF" w14:textId="0FB0E631" w:rsidR="007E2BFD" w:rsidRDefault="007E2BFD"/>
    <w:sdt>
      <w:sdtPr>
        <w:rPr>
          <w:color w:val="00498F"/>
        </w:rPr>
        <w:alias w:val="Title"/>
        <w:tag w:val=""/>
        <w:id w:val="562068056"/>
        <w:placeholder>
          <w:docPart w:val="4328E66D11D541E597CEEA3AABB8744D"/>
        </w:placeholder>
        <w:dataBinding w:prefixMappings="xmlns:ns0='http://purl.org/dc/elements/1.1/' xmlns:ns1='http://schemas.openxmlformats.org/package/2006/metadata/core-properties' " w:xpath="/ns1:coreProperties[1]/ns0:title[1]" w:storeItemID="{6C3C8BC8-F283-45AE-878A-BAB7291924A1}"/>
        <w:text/>
      </w:sdtPr>
      <w:sdtEndPr/>
      <w:sdtContent>
        <w:p w14:paraId="687895D9" w14:textId="1AC22507" w:rsidR="007E2BFD" w:rsidRPr="00076756" w:rsidRDefault="00670628" w:rsidP="007E2BFD">
          <w:pPr>
            <w:pStyle w:val="Documenttitle"/>
            <w:rPr>
              <w:b w:val="0"/>
              <w:color w:val="00498F"/>
              <w:sz w:val="22"/>
              <w:szCs w:val="24"/>
            </w:rPr>
          </w:pPr>
          <w:r>
            <w:rPr>
              <w:color w:val="00498F"/>
            </w:rPr>
            <w:t>O</w:t>
          </w:r>
          <w:r w:rsidRPr="009527AB">
            <w:rPr>
              <w:color w:val="00498F"/>
            </w:rPr>
            <w:t>verview</w:t>
          </w:r>
          <w:r w:rsidRPr="00076756">
            <w:rPr>
              <w:color w:val="00498F"/>
            </w:rPr>
            <w:t xml:space="preserve"> </w:t>
          </w:r>
          <w:r>
            <w:rPr>
              <w:color w:val="00498F"/>
            </w:rPr>
            <w:t xml:space="preserve">of </w:t>
          </w:r>
          <w:r w:rsidRPr="00076756">
            <w:rPr>
              <w:color w:val="00498F"/>
            </w:rPr>
            <w:t xml:space="preserve">NQSW Supported Year </w:t>
          </w:r>
          <w:r>
            <w:rPr>
              <w:color w:val="00498F"/>
            </w:rPr>
            <w:t xml:space="preserve">for early implementation </w:t>
          </w:r>
          <w:r w:rsidRPr="00076756">
            <w:rPr>
              <w:color w:val="00498F"/>
            </w:rPr>
            <w:t>2021-22</w:t>
          </w:r>
        </w:p>
      </w:sdtContent>
    </w:sdt>
    <w:p w14:paraId="09C0FA9B" w14:textId="395D4EFA" w:rsidR="007E2BFD" w:rsidRDefault="007E2BFD"/>
    <w:p w14:paraId="73EC6EA5" w14:textId="5594E650" w:rsidR="007E2BFD" w:rsidRDefault="007E2BFD"/>
    <w:p w14:paraId="34133A6F" w14:textId="000F9057" w:rsidR="007E2BFD" w:rsidRDefault="007E2BFD"/>
    <w:p w14:paraId="30694F70" w14:textId="531958E6" w:rsidR="007E2BFD" w:rsidRDefault="007E2BFD"/>
    <w:p w14:paraId="0E7447E6" w14:textId="1DF6FBF4" w:rsidR="007E2BFD" w:rsidRDefault="007E2BFD"/>
    <w:p w14:paraId="272C785D" w14:textId="70124E84" w:rsidR="007E2BFD" w:rsidRDefault="007E2BFD"/>
    <w:p w14:paraId="095B09C7" w14:textId="0492D975" w:rsidR="007E2BFD" w:rsidRDefault="007E2BFD"/>
    <w:p w14:paraId="10AD1FE5" w14:textId="5CAD451E" w:rsidR="007E2BFD" w:rsidRDefault="007E2BFD"/>
    <w:p w14:paraId="7E418130" w14:textId="320600DB" w:rsidR="007E2BFD" w:rsidRDefault="007E2BFD"/>
    <w:p w14:paraId="2B5B931F" w14:textId="7327E3A0" w:rsidR="007E2BFD" w:rsidRDefault="007E2BFD"/>
    <w:p w14:paraId="5C546962" w14:textId="2D5BC2F9" w:rsidR="007E2BFD" w:rsidRDefault="007E2BFD"/>
    <w:p w14:paraId="3453934A" w14:textId="054646A4" w:rsidR="007E2BFD" w:rsidRDefault="007E2BFD"/>
    <w:p w14:paraId="7410C35D" w14:textId="4223B30F" w:rsidR="007E2BFD" w:rsidRDefault="007E2BFD"/>
    <w:p w14:paraId="6E990C0E" w14:textId="00706B7A" w:rsidR="007E2BFD" w:rsidRDefault="007E2BFD"/>
    <w:p w14:paraId="73D7DA7E" w14:textId="3AE6164D" w:rsidR="007E2BFD" w:rsidRDefault="007E2BFD"/>
    <w:p w14:paraId="27F25706" w14:textId="17014CDC" w:rsidR="007E2BFD" w:rsidRDefault="007E2BFD"/>
    <w:p w14:paraId="27EE58EF" w14:textId="7DD68776" w:rsidR="007E2BFD" w:rsidRDefault="007E2BFD"/>
    <w:p w14:paraId="2A17B460" w14:textId="6A6FA01D" w:rsidR="007E2BFD" w:rsidRDefault="007E2BFD"/>
    <w:p w14:paraId="575E5F30" w14:textId="5A76886E" w:rsidR="007E2BFD" w:rsidRDefault="007E2BFD"/>
    <w:p w14:paraId="105CD58E" w14:textId="54796A26" w:rsidR="007E2BFD" w:rsidRDefault="007E2BFD"/>
    <w:p w14:paraId="50EA0B2C" w14:textId="3DBB68E2" w:rsidR="007E2BFD" w:rsidRDefault="007E2BFD"/>
    <w:p w14:paraId="59B36E08" w14:textId="53911121" w:rsidR="007E2BFD" w:rsidRDefault="007E2BFD"/>
    <w:p w14:paraId="7F4B1239" w14:textId="7E0722D8" w:rsidR="007E2BFD" w:rsidRDefault="007E2BFD"/>
    <w:p w14:paraId="72D0A855" w14:textId="49D6CC6D" w:rsidR="007E2BFD" w:rsidRDefault="007E2BFD"/>
    <w:p w14:paraId="506D3BB3" w14:textId="09983485" w:rsidR="007E2BFD" w:rsidRDefault="007E2BFD"/>
    <w:p w14:paraId="2F239AC6" w14:textId="03F56A36" w:rsidR="007E2BFD" w:rsidRDefault="007E2BFD"/>
    <w:p w14:paraId="78F849A5" w14:textId="682E2956" w:rsidR="007E2BFD" w:rsidRDefault="007E2BFD"/>
    <w:p w14:paraId="4DF4C5BF" w14:textId="425313BE" w:rsidR="007E2BFD" w:rsidRDefault="007E2BFD"/>
    <w:sdt>
      <w:sdtPr>
        <w:rPr>
          <w:rFonts w:ascii="Verdana" w:eastAsiaTheme="minorEastAsia" w:hAnsi="Verdana" w:cstheme="minorBidi"/>
          <w:color w:val="auto"/>
          <w:sz w:val="22"/>
          <w:szCs w:val="24"/>
          <w:lang w:val="en-GB"/>
        </w:rPr>
        <w:id w:val="767821249"/>
        <w:docPartObj>
          <w:docPartGallery w:val="Table of Contents"/>
          <w:docPartUnique/>
        </w:docPartObj>
      </w:sdtPr>
      <w:sdtEndPr>
        <w:rPr>
          <w:b/>
          <w:bCs/>
          <w:noProof/>
        </w:rPr>
      </w:sdtEndPr>
      <w:sdtContent>
        <w:p w14:paraId="0D9BBEA4" w14:textId="4D783050" w:rsidR="00091836" w:rsidRPr="00076756" w:rsidRDefault="00091836">
          <w:pPr>
            <w:pStyle w:val="TOCHeading"/>
            <w:rPr>
              <w:rFonts w:ascii="Verdana" w:hAnsi="Verdana"/>
              <w:b/>
              <w:bCs/>
              <w:color w:val="00498F"/>
              <w:sz w:val="28"/>
              <w:szCs w:val="28"/>
            </w:rPr>
          </w:pPr>
          <w:r w:rsidRPr="00076756">
            <w:rPr>
              <w:rFonts w:ascii="Verdana" w:hAnsi="Verdana"/>
              <w:b/>
              <w:bCs/>
              <w:color w:val="00498F"/>
              <w:sz w:val="28"/>
              <w:szCs w:val="28"/>
            </w:rPr>
            <w:t>Contents</w:t>
          </w:r>
        </w:p>
        <w:p w14:paraId="3CE4556B" w14:textId="77777777" w:rsidR="00997432" w:rsidRDefault="00997432">
          <w:pPr>
            <w:pStyle w:val="TOC1"/>
            <w:tabs>
              <w:tab w:val="right" w:leader="dot" w:pos="9016"/>
            </w:tabs>
          </w:pPr>
        </w:p>
        <w:p w14:paraId="7B31E3EF" w14:textId="3B90CBB9" w:rsidR="00F72002" w:rsidRPr="00F72002" w:rsidRDefault="00091836">
          <w:pPr>
            <w:pStyle w:val="TOC1"/>
            <w:tabs>
              <w:tab w:val="right" w:leader="dot" w:pos="9016"/>
            </w:tabs>
            <w:rPr>
              <w:rFonts w:asciiTheme="minorHAnsi" w:hAnsiTheme="minorHAnsi"/>
              <w:noProof/>
              <w:szCs w:val="22"/>
              <w:lang w:eastAsia="en-GB"/>
            </w:rPr>
          </w:pPr>
          <w:r w:rsidRPr="00195D13">
            <w:fldChar w:fldCharType="begin"/>
          </w:r>
          <w:r w:rsidRPr="00195D13">
            <w:instrText xml:space="preserve"> TOC \o "1-3" \h \z \u </w:instrText>
          </w:r>
          <w:r w:rsidRPr="00195D13">
            <w:fldChar w:fldCharType="separate"/>
          </w:r>
          <w:hyperlink w:anchor="_Toc72516743" w:history="1">
            <w:r w:rsidR="00F72002" w:rsidRPr="00F72002">
              <w:rPr>
                <w:rStyle w:val="Hyperlink"/>
                <w:noProof/>
              </w:rPr>
              <w:t>Introduction</w:t>
            </w:r>
            <w:r w:rsidR="00F72002" w:rsidRPr="00F72002">
              <w:rPr>
                <w:noProof/>
                <w:webHidden/>
              </w:rPr>
              <w:tab/>
            </w:r>
            <w:r w:rsidR="00F72002" w:rsidRPr="00F72002">
              <w:rPr>
                <w:noProof/>
                <w:webHidden/>
              </w:rPr>
              <w:fldChar w:fldCharType="begin"/>
            </w:r>
            <w:r w:rsidR="00F72002" w:rsidRPr="00F72002">
              <w:rPr>
                <w:noProof/>
                <w:webHidden/>
              </w:rPr>
              <w:instrText xml:space="preserve"> PAGEREF _Toc72516743 \h </w:instrText>
            </w:r>
            <w:r w:rsidR="00F72002" w:rsidRPr="00F72002">
              <w:rPr>
                <w:noProof/>
                <w:webHidden/>
              </w:rPr>
            </w:r>
            <w:r w:rsidR="00F72002" w:rsidRPr="00F72002">
              <w:rPr>
                <w:noProof/>
                <w:webHidden/>
              </w:rPr>
              <w:fldChar w:fldCharType="separate"/>
            </w:r>
            <w:r w:rsidR="00F72002" w:rsidRPr="00F72002">
              <w:rPr>
                <w:noProof/>
                <w:webHidden/>
              </w:rPr>
              <w:t>2</w:t>
            </w:r>
            <w:r w:rsidR="00F72002" w:rsidRPr="00F72002">
              <w:rPr>
                <w:noProof/>
                <w:webHidden/>
              </w:rPr>
              <w:fldChar w:fldCharType="end"/>
            </w:r>
          </w:hyperlink>
        </w:p>
        <w:p w14:paraId="44022F13" w14:textId="1E8C589F" w:rsidR="00F72002" w:rsidRPr="00F72002" w:rsidRDefault="005B01BE">
          <w:pPr>
            <w:pStyle w:val="TOC1"/>
            <w:tabs>
              <w:tab w:val="right" w:leader="dot" w:pos="9016"/>
            </w:tabs>
            <w:rPr>
              <w:rFonts w:asciiTheme="minorHAnsi" w:hAnsiTheme="minorHAnsi"/>
              <w:noProof/>
              <w:szCs w:val="22"/>
              <w:lang w:eastAsia="en-GB"/>
            </w:rPr>
          </w:pPr>
          <w:hyperlink w:anchor="_Toc72516744" w:history="1">
            <w:r w:rsidR="00F72002" w:rsidRPr="00F72002">
              <w:rPr>
                <w:rStyle w:val="Hyperlink"/>
                <w:noProof/>
              </w:rPr>
              <w:t>Overview of NQSW Supported Year</w:t>
            </w:r>
            <w:r w:rsidR="00F72002" w:rsidRPr="00F72002">
              <w:rPr>
                <w:noProof/>
                <w:webHidden/>
              </w:rPr>
              <w:tab/>
            </w:r>
            <w:r w:rsidR="00F72002" w:rsidRPr="00F72002">
              <w:rPr>
                <w:noProof/>
                <w:webHidden/>
              </w:rPr>
              <w:fldChar w:fldCharType="begin"/>
            </w:r>
            <w:r w:rsidR="00F72002" w:rsidRPr="00F72002">
              <w:rPr>
                <w:noProof/>
                <w:webHidden/>
              </w:rPr>
              <w:instrText xml:space="preserve"> PAGEREF _Toc72516744 \h </w:instrText>
            </w:r>
            <w:r w:rsidR="00F72002" w:rsidRPr="00F72002">
              <w:rPr>
                <w:noProof/>
                <w:webHidden/>
              </w:rPr>
            </w:r>
            <w:r w:rsidR="00F72002" w:rsidRPr="00F72002">
              <w:rPr>
                <w:noProof/>
                <w:webHidden/>
              </w:rPr>
              <w:fldChar w:fldCharType="separate"/>
            </w:r>
            <w:r w:rsidR="00F72002" w:rsidRPr="00F72002">
              <w:rPr>
                <w:noProof/>
                <w:webHidden/>
              </w:rPr>
              <w:t>3</w:t>
            </w:r>
            <w:r w:rsidR="00F72002" w:rsidRPr="00F72002">
              <w:rPr>
                <w:noProof/>
                <w:webHidden/>
              </w:rPr>
              <w:fldChar w:fldCharType="end"/>
            </w:r>
          </w:hyperlink>
        </w:p>
        <w:p w14:paraId="22D4D16F" w14:textId="33FBCBF0" w:rsidR="00F72002" w:rsidRPr="00F72002" w:rsidRDefault="005B01BE">
          <w:pPr>
            <w:pStyle w:val="TOC1"/>
            <w:tabs>
              <w:tab w:val="right" w:leader="dot" w:pos="9016"/>
            </w:tabs>
            <w:rPr>
              <w:rFonts w:asciiTheme="minorHAnsi" w:hAnsiTheme="minorHAnsi"/>
              <w:noProof/>
              <w:szCs w:val="22"/>
              <w:lang w:eastAsia="en-GB"/>
            </w:rPr>
          </w:pPr>
          <w:hyperlink w:anchor="_Toc72516745" w:history="1">
            <w:r w:rsidR="00F72002" w:rsidRPr="00F72002">
              <w:rPr>
                <w:rStyle w:val="Hyperlink"/>
                <w:noProof/>
              </w:rPr>
              <w:t>Core elements to be provided by employers of NQSW</w:t>
            </w:r>
            <w:r w:rsidR="00F72002" w:rsidRPr="00F72002">
              <w:rPr>
                <w:noProof/>
                <w:webHidden/>
              </w:rPr>
              <w:tab/>
            </w:r>
            <w:r w:rsidR="00F72002" w:rsidRPr="00F72002">
              <w:rPr>
                <w:noProof/>
                <w:webHidden/>
              </w:rPr>
              <w:fldChar w:fldCharType="begin"/>
            </w:r>
            <w:r w:rsidR="00F72002" w:rsidRPr="00F72002">
              <w:rPr>
                <w:noProof/>
                <w:webHidden/>
              </w:rPr>
              <w:instrText xml:space="preserve"> PAGEREF _Toc72516745 \h </w:instrText>
            </w:r>
            <w:r w:rsidR="00F72002" w:rsidRPr="00F72002">
              <w:rPr>
                <w:noProof/>
                <w:webHidden/>
              </w:rPr>
            </w:r>
            <w:r w:rsidR="00F72002" w:rsidRPr="00F72002">
              <w:rPr>
                <w:noProof/>
                <w:webHidden/>
              </w:rPr>
              <w:fldChar w:fldCharType="separate"/>
            </w:r>
            <w:r w:rsidR="00F72002" w:rsidRPr="00F72002">
              <w:rPr>
                <w:noProof/>
                <w:webHidden/>
              </w:rPr>
              <w:t>6</w:t>
            </w:r>
            <w:r w:rsidR="00F72002" w:rsidRPr="00F72002">
              <w:rPr>
                <w:noProof/>
                <w:webHidden/>
              </w:rPr>
              <w:fldChar w:fldCharType="end"/>
            </w:r>
          </w:hyperlink>
        </w:p>
        <w:p w14:paraId="59734785" w14:textId="3E02E50A" w:rsidR="00F72002" w:rsidRPr="00F72002" w:rsidRDefault="005B01BE">
          <w:pPr>
            <w:pStyle w:val="TOC1"/>
            <w:tabs>
              <w:tab w:val="right" w:leader="dot" w:pos="9016"/>
            </w:tabs>
            <w:rPr>
              <w:rFonts w:asciiTheme="minorHAnsi" w:hAnsiTheme="minorHAnsi"/>
              <w:noProof/>
              <w:szCs w:val="22"/>
              <w:lang w:eastAsia="en-GB"/>
            </w:rPr>
          </w:pPr>
          <w:hyperlink w:anchor="_Toc72516746" w:history="1">
            <w:r w:rsidR="00F72002" w:rsidRPr="00F72002">
              <w:rPr>
                <w:rStyle w:val="Hyperlink"/>
                <w:noProof/>
              </w:rPr>
              <w:t xml:space="preserve">Appendix 1. </w:t>
            </w:r>
            <w:r w:rsidR="00F72002" w:rsidRPr="00F72002">
              <w:rPr>
                <w:rStyle w:val="Hyperlink"/>
                <w:noProof/>
                <w:lang w:val="en"/>
              </w:rPr>
              <w:t>Newly qualified social worker (NQSW) standards – early implementation version</w:t>
            </w:r>
            <w:r w:rsidR="00F72002" w:rsidRPr="00F72002">
              <w:rPr>
                <w:noProof/>
                <w:webHidden/>
              </w:rPr>
              <w:tab/>
            </w:r>
            <w:r w:rsidR="00F72002" w:rsidRPr="00F72002">
              <w:rPr>
                <w:noProof/>
                <w:webHidden/>
              </w:rPr>
              <w:fldChar w:fldCharType="begin"/>
            </w:r>
            <w:r w:rsidR="00F72002" w:rsidRPr="00F72002">
              <w:rPr>
                <w:noProof/>
                <w:webHidden/>
              </w:rPr>
              <w:instrText xml:space="preserve"> PAGEREF _Toc72516746 \h </w:instrText>
            </w:r>
            <w:r w:rsidR="00F72002" w:rsidRPr="00F72002">
              <w:rPr>
                <w:noProof/>
                <w:webHidden/>
              </w:rPr>
            </w:r>
            <w:r w:rsidR="00F72002" w:rsidRPr="00F72002">
              <w:rPr>
                <w:noProof/>
                <w:webHidden/>
              </w:rPr>
              <w:fldChar w:fldCharType="separate"/>
            </w:r>
            <w:r w:rsidR="00F72002" w:rsidRPr="00F72002">
              <w:rPr>
                <w:noProof/>
                <w:webHidden/>
              </w:rPr>
              <w:t>12</w:t>
            </w:r>
            <w:r w:rsidR="00F72002" w:rsidRPr="00F72002">
              <w:rPr>
                <w:noProof/>
                <w:webHidden/>
              </w:rPr>
              <w:fldChar w:fldCharType="end"/>
            </w:r>
          </w:hyperlink>
        </w:p>
        <w:p w14:paraId="2AED4E2E" w14:textId="368B9BFF" w:rsidR="00091836" w:rsidRDefault="00091836">
          <w:r w:rsidRPr="00195D13">
            <w:rPr>
              <w:noProof/>
            </w:rPr>
            <w:fldChar w:fldCharType="end"/>
          </w:r>
        </w:p>
      </w:sdtContent>
    </w:sdt>
    <w:p w14:paraId="0CA730C4" w14:textId="7E1FFC41" w:rsidR="0075119A" w:rsidRDefault="0075119A"/>
    <w:p w14:paraId="2C1D3A4F" w14:textId="7852A35D" w:rsidR="004F6374" w:rsidRDefault="004F6374"/>
    <w:p w14:paraId="15522F9B" w14:textId="0CF91ADD" w:rsidR="004F6374" w:rsidRDefault="004F6374"/>
    <w:p w14:paraId="4B8843B0" w14:textId="459981A4" w:rsidR="004F6374" w:rsidRDefault="004F6374"/>
    <w:p w14:paraId="2D0F4E17" w14:textId="3F339635" w:rsidR="004F6374" w:rsidRDefault="004F6374"/>
    <w:p w14:paraId="39163E87" w14:textId="2569A1A1" w:rsidR="004F6374" w:rsidRDefault="004F6374"/>
    <w:p w14:paraId="606A5622" w14:textId="6A773C7A" w:rsidR="004F6374" w:rsidRDefault="004F6374"/>
    <w:p w14:paraId="39595FAC" w14:textId="34B813F7" w:rsidR="004F6374" w:rsidRDefault="004F6374"/>
    <w:p w14:paraId="14E2B357" w14:textId="5806C474" w:rsidR="004F6374" w:rsidRDefault="004F6374"/>
    <w:p w14:paraId="16AB8AA8" w14:textId="4DF313D1" w:rsidR="004F6374" w:rsidRDefault="004F6374"/>
    <w:p w14:paraId="014C0907" w14:textId="5D030BB0" w:rsidR="004F6374" w:rsidRDefault="004F6374"/>
    <w:p w14:paraId="58E436FA" w14:textId="461E0A88" w:rsidR="004F6374" w:rsidRDefault="004F6374"/>
    <w:p w14:paraId="0986EAF6" w14:textId="17F093E5" w:rsidR="004F6374" w:rsidRDefault="004F6374"/>
    <w:p w14:paraId="03667856" w14:textId="0D231AF1" w:rsidR="004F6374" w:rsidRDefault="004F6374"/>
    <w:p w14:paraId="16CD3CA9" w14:textId="5A9CE035" w:rsidR="004F6374" w:rsidRDefault="004F6374"/>
    <w:p w14:paraId="4F522FAA" w14:textId="1EFB6181" w:rsidR="004F6374" w:rsidRDefault="004F6374"/>
    <w:p w14:paraId="2CD8560D" w14:textId="0269EF71" w:rsidR="004F6374" w:rsidRDefault="004F6374"/>
    <w:p w14:paraId="351376CD" w14:textId="46C16B85" w:rsidR="004F6374" w:rsidRDefault="004F6374"/>
    <w:p w14:paraId="05469E05" w14:textId="0128CAFC" w:rsidR="004F6374" w:rsidRDefault="004F6374"/>
    <w:p w14:paraId="14FFDC9F" w14:textId="36BF86A5" w:rsidR="004F6374" w:rsidRDefault="004F6374"/>
    <w:p w14:paraId="6C9D46D6" w14:textId="68B36EA2" w:rsidR="004F6374" w:rsidRDefault="004F6374"/>
    <w:p w14:paraId="46A83676" w14:textId="3E3E1F24" w:rsidR="004F6374" w:rsidRDefault="004F6374"/>
    <w:p w14:paraId="703D6C7C" w14:textId="7F77CB07" w:rsidR="004F6374" w:rsidRDefault="004F6374"/>
    <w:p w14:paraId="31B4C0A8" w14:textId="7E4FC345" w:rsidR="004F6374" w:rsidRDefault="004F6374"/>
    <w:p w14:paraId="05F6F0F3" w14:textId="20B6FAB5" w:rsidR="008F7A37" w:rsidRDefault="008F7A37"/>
    <w:p w14:paraId="26BCB6EA" w14:textId="30C1FB96" w:rsidR="00600C6A" w:rsidRDefault="00600C6A"/>
    <w:p w14:paraId="1CDD7566" w14:textId="76ED7D9A" w:rsidR="00600C6A" w:rsidRDefault="00600C6A"/>
    <w:p w14:paraId="0FF87BF4" w14:textId="77777777" w:rsidR="00600C6A" w:rsidRDefault="00600C6A"/>
    <w:p w14:paraId="55C346E1" w14:textId="4A2DDF35" w:rsidR="008F7A37" w:rsidRDefault="008F7A37"/>
    <w:p w14:paraId="5CD8E099" w14:textId="072D4073" w:rsidR="0014342C" w:rsidRDefault="0014342C"/>
    <w:p w14:paraId="6E0E40B5" w14:textId="33D56427" w:rsidR="0014342C" w:rsidRDefault="0014342C"/>
    <w:p w14:paraId="1C700483" w14:textId="1069CEFD" w:rsidR="0014342C" w:rsidRDefault="0014342C"/>
    <w:p w14:paraId="463678A1" w14:textId="32BEA596" w:rsidR="0014342C" w:rsidRDefault="0014342C"/>
    <w:p w14:paraId="56E330F3" w14:textId="64D9C2BA" w:rsidR="0014342C" w:rsidRDefault="0014342C"/>
    <w:p w14:paraId="11103B5B" w14:textId="36C1C71C" w:rsidR="0014342C" w:rsidRDefault="0014342C"/>
    <w:p w14:paraId="430047BA" w14:textId="77777777" w:rsidR="0014342C" w:rsidRDefault="0014342C"/>
    <w:p w14:paraId="1E4BF12F" w14:textId="77777777" w:rsidR="008F7A37" w:rsidRDefault="008F7A37"/>
    <w:p w14:paraId="0A682261" w14:textId="77777777" w:rsidR="008F7A37" w:rsidRDefault="008F7A37"/>
    <w:p w14:paraId="550330E4" w14:textId="76777A5C" w:rsidR="004F6374" w:rsidRDefault="004F6374"/>
    <w:p w14:paraId="609E0BF6" w14:textId="24CE24E0" w:rsidR="004F6374" w:rsidRDefault="004F6374"/>
    <w:p w14:paraId="13697E78" w14:textId="77777777" w:rsidR="00076756" w:rsidRDefault="00076756"/>
    <w:p w14:paraId="61575BE5" w14:textId="00AF8A86" w:rsidR="004F6374" w:rsidRPr="00076756" w:rsidRDefault="008D5739" w:rsidP="005D0EC7">
      <w:pPr>
        <w:pStyle w:val="Heading1"/>
        <w:rPr>
          <w:rFonts w:ascii="Verdana" w:hAnsi="Verdana"/>
          <w:b/>
          <w:bCs/>
          <w:color w:val="00498F"/>
          <w:sz w:val="28"/>
          <w:szCs w:val="28"/>
        </w:rPr>
      </w:pPr>
      <w:bookmarkStart w:id="0" w:name="_Toc72516743"/>
      <w:r>
        <w:rPr>
          <w:rFonts w:ascii="Verdana" w:hAnsi="Verdana"/>
          <w:b/>
          <w:bCs/>
          <w:color w:val="00498F"/>
          <w:sz w:val="28"/>
          <w:szCs w:val="28"/>
        </w:rPr>
        <w:lastRenderedPageBreak/>
        <w:t>I</w:t>
      </w:r>
      <w:r w:rsidR="00090581">
        <w:rPr>
          <w:rFonts w:ascii="Verdana" w:hAnsi="Verdana"/>
          <w:b/>
          <w:bCs/>
          <w:color w:val="00498F"/>
          <w:sz w:val="28"/>
          <w:szCs w:val="28"/>
        </w:rPr>
        <w:t>ntroduction</w:t>
      </w:r>
      <w:bookmarkEnd w:id="0"/>
    </w:p>
    <w:p w14:paraId="0D5960C9" w14:textId="77777777" w:rsidR="006D6987" w:rsidRPr="00076756" w:rsidRDefault="006D6987" w:rsidP="006D6987">
      <w:pPr>
        <w:rPr>
          <w:color w:val="00498F"/>
        </w:rPr>
      </w:pPr>
    </w:p>
    <w:p w14:paraId="3F24A3E7" w14:textId="600829A7" w:rsidR="00D32654" w:rsidRDefault="00E53231" w:rsidP="00D32654">
      <w:pPr>
        <w:pStyle w:val="paragraph"/>
        <w:spacing w:before="0" w:beforeAutospacing="0" w:after="0" w:afterAutospacing="0"/>
        <w:textAlignment w:val="baseline"/>
        <w:rPr>
          <w:rStyle w:val="eop"/>
          <w:rFonts w:ascii="Verdana" w:eastAsiaTheme="majorEastAsia" w:hAnsi="Verdana" w:cs="Calibri"/>
          <w:color w:val="000000"/>
          <w:sz w:val="22"/>
          <w:szCs w:val="22"/>
        </w:rPr>
      </w:pPr>
      <w:r w:rsidRPr="00E53231">
        <w:rPr>
          <w:rFonts w:ascii="Verdana" w:hAnsi="Verdana"/>
          <w:sz w:val="22"/>
          <w:szCs w:val="22"/>
        </w:rPr>
        <w:t>In response to policy and research findings, t</w:t>
      </w:r>
      <w:r w:rsidR="00550425" w:rsidRPr="00E53231">
        <w:rPr>
          <w:rStyle w:val="normaltextrun"/>
          <w:rFonts w:ascii="Verdana" w:eastAsiaTheme="minorEastAsia" w:hAnsi="Verdana" w:cs="Calibri"/>
          <w:color w:val="000000" w:themeColor="text1"/>
          <w:sz w:val="22"/>
          <w:szCs w:val="22"/>
        </w:rPr>
        <w:t xml:space="preserve">he Scottish Government commissioned the SSSC to provide recommendations on the design, implementation and delivery of a sustainable and accessible </w:t>
      </w:r>
      <w:r w:rsidR="00EE5463" w:rsidRPr="00E53231">
        <w:rPr>
          <w:rStyle w:val="normaltextrun"/>
          <w:rFonts w:ascii="Verdana" w:eastAsiaTheme="minorEastAsia" w:hAnsi="Verdana" w:cs="Calibri"/>
          <w:color w:val="000000" w:themeColor="text1"/>
          <w:sz w:val="22"/>
          <w:szCs w:val="22"/>
        </w:rPr>
        <w:t>N</w:t>
      </w:r>
      <w:r w:rsidR="00A50FF8">
        <w:rPr>
          <w:rStyle w:val="normaltextrun"/>
          <w:rFonts w:ascii="Verdana" w:eastAsiaTheme="minorEastAsia" w:hAnsi="Verdana" w:cs="Calibri"/>
          <w:color w:val="000000" w:themeColor="text1"/>
          <w:sz w:val="22"/>
          <w:szCs w:val="22"/>
        </w:rPr>
        <w:t xml:space="preserve">ewly </w:t>
      </w:r>
      <w:r w:rsidR="00EE5463" w:rsidRPr="00E53231">
        <w:rPr>
          <w:rStyle w:val="normaltextrun"/>
          <w:rFonts w:ascii="Verdana" w:eastAsiaTheme="minorEastAsia" w:hAnsi="Verdana" w:cs="Calibri"/>
          <w:color w:val="000000" w:themeColor="text1"/>
          <w:sz w:val="22"/>
          <w:szCs w:val="22"/>
        </w:rPr>
        <w:t>Q</w:t>
      </w:r>
      <w:r w:rsidR="00A50FF8">
        <w:rPr>
          <w:rStyle w:val="normaltextrun"/>
          <w:rFonts w:ascii="Verdana" w:eastAsiaTheme="minorEastAsia" w:hAnsi="Verdana" w:cs="Calibri"/>
          <w:color w:val="000000" w:themeColor="text1"/>
          <w:sz w:val="22"/>
          <w:szCs w:val="22"/>
        </w:rPr>
        <w:t xml:space="preserve">ualified </w:t>
      </w:r>
      <w:r w:rsidR="00EE5463" w:rsidRPr="00E53231">
        <w:rPr>
          <w:rStyle w:val="normaltextrun"/>
          <w:rFonts w:ascii="Verdana" w:eastAsiaTheme="minorEastAsia" w:hAnsi="Verdana" w:cs="Calibri"/>
          <w:color w:val="000000" w:themeColor="text1"/>
          <w:sz w:val="22"/>
          <w:szCs w:val="22"/>
        </w:rPr>
        <w:t>S</w:t>
      </w:r>
      <w:r w:rsidR="00A50FF8">
        <w:rPr>
          <w:rStyle w:val="normaltextrun"/>
          <w:rFonts w:ascii="Verdana" w:eastAsiaTheme="minorEastAsia" w:hAnsi="Verdana" w:cs="Calibri"/>
          <w:color w:val="000000" w:themeColor="text1"/>
          <w:sz w:val="22"/>
          <w:szCs w:val="22"/>
        </w:rPr>
        <w:t xml:space="preserve">ocial </w:t>
      </w:r>
      <w:r w:rsidR="00EE5463" w:rsidRPr="00E53231">
        <w:rPr>
          <w:rStyle w:val="normaltextrun"/>
          <w:rFonts w:ascii="Verdana" w:eastAsiaTheme="minorEastAsia" w:hAnsi="Verdana" w:cs="Calibri"/>
          <w:color w:val="000000" w:themeColor="text1"/>
          <w:sz w:val="22"/>
          <w:szCs w:val="22"/>
        </w:rPr>
        <w:t>W</w:t>
      </w:r>
      <w:r w:rsidR="00A50FF8">
        <w:rPr>
          <w:rStyle w:val="normaltextrun"/>
          <w:rFonts w:ascii="Verdana" w:eastAsiaTheme="minorEastAsia" w:hAnsi="Verdana" w:cs="Calibri"/>
          <w:color w:val="000000" w:themeColor="text1"/>
          <w:sz w:val="22"/>
          <w:szCs w:val="22"/>
        </w:rPr>
        <w:t>orker (NQSW)</w:t>
      </w:r>
      <w:r w:rsidR="00367016" w:rsidRPr="00E53231">
        <w:rPr>
          <w:rStyle w:val="normaltextrun"/>
          <w:rFonts w:ascii="Verdana" w:eastAsiaTheme="minorEastAsia" w:hAnsi="Verdana" w:cs="Calibri"/>
          <w:color w:val="000000" w:themeColor="text1"/>
          <w:sz w:val="22"/>
          <w:szCs w:val="22"/>
        </w:rPr>
        <w:t xml:space="preserve"> Supported Year</w:t>
      </w:r>
      <w:r w:rsidR="00EE5463" w:rsidRPr="00E53231">
        <w:rPr>
          <w:rStyle w:val="normaltextrun"/>
          <w:rFonts w:ascii="Verdana" w:eastAsiaTheme="minorEastAsia" w:hAnsi="Verdana" w:cs="Calibri"/>
          <w:color w:val="000000" w:themeColor="text1"/>
          <w:sz w:val="22"/>
          <w:szCs w:val="22"/>
        </w:rPr>
        <w:t xml:space="preserve">. </w:t>
      </w:r>
      <w:r w:rsidR="00D32654" w:rsidRPr="00E408E3">
        <w:rPr>
          <w:rStyle w:val="normaltextrun"/>
          <w:rFonts w:ascii="Verdana" w:eastAsiaTheme="minorEastAsia" w:hAnsi="Verdana" w:cs="Calibri"/>
          <w:sz w:val="22"/>
          <w:szCs w:val="22"/>
        </w:rPr>
        <w:t>The Scottish Government will determine if the NQSW Supported Year is to become a national approach</w:t>
      </w:r>
      <w:r w:rsidR="0003408F">
        <w:rPr>
          <w:rStyle w:val="normaltextrun"/>
          <w:rFonts w:ascii="Verdana" w:eastAsiaTheme="minorEastAsia" w:hAnsi="Verdana" w:cs="Calibri"/>
          <w:sz w:val="22"/>
          <w:szCs w:val="22"/>
        </w:rPr>
        <w:t>, however, t</w:t>
      </w:r>
      <w:r w:rsidR="00D32654" w:rsidRPr="00E53231">
        <w:rPr>
          <w:rStyle w:val="normaltextrun"/>
          <w:rFonts w:ascii="Verdana" w:eastAsiaTheme="minorEastAsia" w:hAnsi="Verdana" w:cs="Calibri"/>
          <w:sz w:val="22"/>
          <w:szCs w:val="22"/>
        </w:rPr>
        <w:t xml:space="preserve">he Office of the Chief Social Work Adviser </w:t>
      </w:r>
      <w:r w:rsidR="00D32654">
        <w:rPr>
          <w:rStyle w:val="normaltextrun"/>
          <w:rFonts w:ascii="Verdana" w:eastAsiaTheme="minorEastAsia" w:hAnsi="Verdana" w:cs="Calibri"/>
          <w:sz w:val="22"/>
          <w:szCs w:val="22"/>
        </w:rPr>
        <w:t xml:space="preserve">has indicated support for this to be a mandatory year with Scotland-wide implementation </w:t>
      </w:r>
      <w:r w:rsidR="00F0060B">
        <w:rPr>
          <w:rStyle w:val="normaltextrun"/>
          <w:rFonts w:ascii="Verdana" w:eastAsiaTheme="minorEastAsia" w:hAnsi="Verdana" w:cs="Calibri"/>
          <w:sz w:val="22"/>
          <w:szCs w:val="22"/>
        </w:rPr>
        <w:t>in</w:t>
      </w:r>
      <w:r w:rsidR="00D32654">
        <w:rPr>
          <w:rStyle w:val="normaltextrun"/>
          <w:rFonts w:ascii="Verdana" w:eastAsiaTheme="minorEastAsia" w:hAnsi="Verdana" w:cs="Calibri"/>
          <w:sz w:val="22"/>
          <w:szCs w:val="22"/>
        </w:rPr>
        <w:t xml:space="preserve"> financial year 2022/23.  </w:t>
      </w:r>
    </w:p>
    <w:p w14:paraId="2A0528D3" w14:textId="77777777" w:rsidR="007711F0" w:rsidRDefault="007711F0" w:rsidP="005638A5">
      <w:pPr>
        <w:pStyle w:val="paragraph"/>
        <w:spacing w:before="0" w:beforeAutospacing="0" w:after="0" w:afterAutospacing="0"/>
        <w:textAlignment w:val="baseline"/>
        <w:rPr>
          <w:rStyle w:val="normaltextrun"/>
          <w:rFonts w:ascii="Verdana" w:hAnsi="Verdana"/>
          <w:color w:val="000000"/>
          <w:sz w:val="22"/>
          <w:szCs w:val="22"/>
          <w:shd w:val="clear" w:color="auto" w:fill="FFFFFF"/>
        </w:rPr>
      </w:pPr>
    </w:p>
    <w:p w14:paraId="267F5DC9" w14:textId="7B9F907E" w:rsidR="00180C43" w:rsidRDefault="00180C43" w:rsidP="00180C43">
      <w:pPr>
        <w:pStyle w:val="paragraph"/>
        <w:spacing w:before="0" w:beforeAutospacing="0" w:after="0" w:afterAutospacing="0"/>
        <w:textAlignment w:val="baseline"/>
        <w:rPr>
          <w:rStyle w:val="normaltextrun"/>
          <w:rFonts w:ascii="Verdana" w:hAnsi="Verdana"/>
          <w:color w:val="000000"/>
          <w:sz w:val="22"/>
          <w:szCs w:val="22"/>
          <w:shd w:val="clear" w:color="auto" w:fill="FFFFFF"/>
        </w:rPr>
      </w:pPr>
      <w:r>
        <w:rPr>
          <w:rStyle w:val="normaltextrun"/>
          <w:rFonts w:ascii="Verdana" w:hAnsi="Verdana"/>
          <w:color w:val="000000"/>
          <w:sz w:val="22"/>
          <w:szCs w:val="22"/>
          <w:shd w:val="clear" w:color="auto" w:fill="FFFFFF"/>
        </w:rPr>
        <w:t xml:space="preserve">The development of the NQSW Supported Year has been informed by the evaluation of pilot activity, </w:t>
      </w:r>
      <w:r w:rsidRPr="00F53586">
        <w:rPr>
          <w:rFonts w:ascii="Verdana" w:eastAsiaTheme="minorHAnsi" w:hAnsi="Verdana" w:cstheme="minorBidi"/>
          <w:sz w:val="22"/>
          <w:szCs w:val="22"/>
          <w:lang w:eastAsia="en-US"/>
        </w:rPr>
        <w:t>research</w:t>
      </w:r>
      <w:r w:rsidRPr="00F53586">
        <w:rPr>
          <w:rFonts w:ascii="Verdana" w:eastAsiaTheme="minorHAnsi" w:hAnsi="Verdana" w:cstheme="minorBidi"/>
          <w:sz w:val="22"/>
          <w:szCs w:val="22"/>
          <w:vertAlign w:val="superscript"/>
          <w:lang w:eastAsia="en-US"/>
        </w:rPr>
        <w:footnoteReference w:id="2"/>
      </w:r>
      <w:r w:rsidRPr="00F53586">
        <w:rPr>
          <w:rFonts w:ascii="Verdana" w:eastAsiaTheme="minorHAnsi" w:hAnsi="Verdana" w:cstheme="minorBidi"/>
          <w:sz w:val="22"/>
          <w:szCs w:val="22"/>
          <w:lang w:eastAsia="en-US"/>
        </w:rPr>
        <w:t xml:space="preserve"> and</w:t>
      </w:r>
      <w:r>
        <w:rPr>
          <w:rStyle w:val="normaltextrun"/>
          <w:rFonts w:ascii="Verdana" w:hAnsi="Verdana"/>
          <w:color w:val="000000"/>
          <w:sz w:val="22"/>
          <w:szCs w:val="22"/>
          <w:shd w:val="clear" w:color="auto" w:fill="FFFFFF"/>
        </w:rPr>
        <w:t> the context of adapting and responding to the challenges and potential opportunities of studying and working within the COVID-19 pandemic. </w:t>
      </w:r>
    </w:p>
    <w:p w14:paraId="33772A2F" w14:textId="77777777" w:rsidR="00180C43" w:rsidRDefault="00180C43" w:rsidP="00180C43">
      <w:pPr>
        <w:pStyle w:val="paragraph"/>
        <w:spacing w:before="0" w:beforeAutospacing="0" w:after="0" w:afterAutospacing="0"/>
        <w:textAlignment w:val="baseline"/>
        <w:rPr>
          <w:rStyle w:val="normaltextrun"/>
          <w:rFonts w:ascii="Verdana" w:hAnsi="Verdana"/>
          <w:color w:val="000000"/>
          <w:sz w:val="22"/>
          <w:szCs w:val="22"/>
          <w:shd w:val="clear" w:color="auto" w:fill="FFFFFF"/>
        </w:rPr>
      </w:pPr>
    </w:p>
    <w:p w14:paraId="76222008" w14:textId="53E873DF" w:rsidR="005638A5" w:rsidRDefault="005638A5" w:rsidP="005638A5">
      <w:pPr>
        <w:pStyle w:val="paragraph"/>
        <w:spacing w:before="0" w:beforeAutospacing="0" w:after="0" w:afterAutospacing="0"/>
        <w:textAlignment w:val="baseline"/>
        <w:rPr>
          <w:rStyle w:val="normaltextrun"/>
          <w:rFonts w:ascii="Verdana" w:hAnsi="Verdana"/>
          <w:color w:val="000000"/>
          <w:sz w:val="22"/>
          <w:szCs w:val="22"/>
          <w:shd w:val="clear" w:color="auto" w:fill="FFFFFF"/>
        </w:rPr>
      </w:pPr>
      <w:r w:rsidRPr="00604191">
        <w:rPr>
          <w:rStyle w:val="normaltextrun"/>
          <w:rFonts w:ascii="Verdana" w:hAnsi="Verdana"/>
          <w:color w:val="000000"/>
          <w:sz w:val="22"/>
          <w:szCs w:val="22"/>
          <w:shd w:val="clear" w:color="auto" w:fill="FFFFFF"/>
        </w:rPr>
        <w:t>The programme of work is overseen by an Implementation Group comprising of representation from key stakeholders</w:t>
      </w:r>
      <w:r w:rsidRPr="00F24A4B">
        <w:t xml:space="preserve"> </w:t>
      </w:r>
      <w:r w:rsidRPr="00F24A4B">
        <w:rPr>
          <w:rStyle w:val="normaltextrun"/>
          <w:rFonts w:ascii="Verdana" w:hAnsi="Verdana"/>
          <w:color w:val="000000"/>
          <w:sz w:val="22"/>
          <w:szCs w:val="22"/>
          <w:shd w:val="clear" w:color="auto" w:fill="FFFFFF"/>
        </w:rPr>
        <w:t>including O</w:t>
      </w:r>
      <w:r>
        <w:rPr>
          <w:rStyle w:val="normaltextrun"/>
          <w:rFonts w:ascii="Verdana" w:hAnsi="Verdana"/>
          <w:color w:val="000000"/>
          <w:sz w:val="22"/>
          <w:szCs w:val="22"/>
          <w:shd w:val="clear" w:color="auto" w:fill="FFFFFF"/>
        </w:rPr>
        <w:t>ffice of the Chief Social Work Adviser (O</w:t>
      </w:r>
      <w:r w:rsidRPr="00F24A4B">
        <w:rPr>
          <w:rStyle w:val="normaltextrun"/>
          <w:rFonts w:ascii="Verdana" w:hAnsi="Verdana"/>
          <w:color w:val="000000"/>
          <w:sz w:val="22"/>
          <w:szCs w:val="22"/>
          <w:shd w:val="clear" w:color="auto" w:fill="FFFFFF"/>
        </w:rPr>
        <w:t>CSWA</w:t>
      </w:r>
      <w:r>
        <w:rPr>
          <w:rStyle w:val="normaltextrun"/>
          <w:rFonts w:ascii="Verdana" w:hAnsi="Verdana"/>
          <w:color w:val="000000"/>
          <w:sz w:val="22"/>
          <w:szCs w:val="22"/>
          <w:shd w:val="clear" w:color="auto" w:fill="FFFFFF"/>
        </w:rPr>
        <w:t>)</w:t>
      </w:r>
      <w:r w:rsidRPr="00F24A4B">
        <w:rPr>
          <w:rStyle w:val="normaltextrun"/>
          <w:rFonts w:ascii="Verdana" w:hAnsi="Verdana"/>
          <w:color w:val="000000"/>
          <w:sz w:val="22"/>
          <w:szCs w:val="22"/>
          <w:shd w:val="clear" w:color="auto" w:fill="FFFFFF"/>
        </w:rPr>
        <w:t xml:space="preserve">, </w:t>
      </w:r>
      <w:r>
        <w:rPr>
          <w:rStyle w:val="normaltextrun"/>
          <w:rFonts w:ascii="Verdana" w:hAnsi="Verdana"/>
          <w:color w:val="000000"/>
          <w:sz w:val="22"/>
          <w:szCs w:val="22"/>
          <w:shd w:val="clear" w:color="auto" w:fill="FFFFFF"/>
        </w:rPr>
        <w:t>Social Work Scotland (S</w:t>
      </w:r>
      <w:r w:rsidRPr="00F24A4B">
        <w:rPr>
          <w:rStyle w:val="normaltextrun"/>
          <w:rFonts w:ascii="Verdana" w:hAnsi="Verdana"/>
          <w:color w:val="000000"/>
          <w:sz w:val="22"/>
          <w:szCs w:val="22"/>
          <w:shd w:val="clear" w:color="auto" w:fill="FFFFFF"/>
        </w:rPr>
        <w:t>WS</w:t>
      </w:r>
      <w:r>
        <w:rPr>
          <w:rStyle w:val="normaltextrun"/>
          <w:rFonts w:ascii="Verdana" w:hAnsi="Verdana"/>
          <w:color w:val="000000"/>
          <w:sz w:val="22"/>
          <w:szCs w:val="22"/>
          <w:shd w:val="clear" w:color="auto" w:fill="FFFFFF"/>
        </w:rPr>
        <w:t>)</w:t>
      </w:r>
      <w:r w:rsidRPr="00F24A4B">
        <w:rPr>
          <w:rStyle w:val="normaltextrun"/>
          <w:rFonts w:ascii="Verdana" w:hAnsi="Verdana"/>
          <w:color w:val="000000"/>
          <w:sz w:val="22"/>
          <w:szCs w:val="22"/>
          <w:shd w:val="clear" w:color="auto" w:fill="FFFFFF"/>
        </w:rPr>
        <w:t>, employer</w:t>
      </w:r>
      <w:r>
        <w:rPr>
          <w:rStyle w:val="normaltextrun"/>
          <w:rFonts w:ascii="Verdana" w:hAnsi="Verdana"/>
          <w:color w:val="000000"/>
          <w:sz w:val="22"/>
          <w:szCs w:val="22"/>
          <w:shd w:val="clear" w:color="auto" w:fill="FFFFFF"/>
        </w:rPr>
        <w:t>s</w:t>
      </w:r>
      <w:r w:rsidRPr="00F24A4B">
        <w:rPr>
          <w:rStyle w:val="normaltextrun"/>
          <w:rFonts w:ascii="Verdana" w:hAnsi="Verdana"/>
          <w:color w:val="000000"/>
          <w:sz w:val="22"/>
          <w:szCs w:val="22"/>
          <w:shd w:val="clear" w:color="auto" w:fill="FFFFFF"/>
        </w:rPr>
        <w:t>, NQSW</w:t>
      </w:r>
      <w:r>
        <w:rPr>
          <w:rStyle w:val="normaltextrun"/>
          <w:rFonts w:ascii="Verdana" w:hAnsi="Verdana"/>
          <w:color w:val="000000"/>
          <w:sz w:val="22"/>
          <w:szCs w:val="22"/>
          <w:shd w:val="clear" w:color="auto" w:fill="FFFFFF"/>
        </w:rPr>
        <w:t>s</w:t>
      </w:r>
      <w:r w:rsidRPr="00F24A4B">
        <w:rPr>
          <w:rStyle w:val="normaltextrun"/>
          <w:rFonts w:ascii="Verdana" w:hAnsi="Verdana"/>
          <w:color w:val="000000"/>
          <w:sz w:val="22"/>
          <w:szCs w:val="22"/>
          <w:shd w:val="clear" w:color="auto" w:fill="FFFFFF"/>
        </w:rPr>
        <w:t>, S</w:t>
      </w:r>
      <w:r>
        <w:rPr>
          <w:rStyle w:val="normaltextrun"/>
          <w:rFonts w:ascii="Verdana" w:hAnsi="Verdana"/>
          <w:color w:val="000000"/>
          <w:sz w:val="22"/>
          <w:szCs w:val="22"/>
          <w:shd w:val="clear" w:color="auto" w:fill="FFFFFF"/>
        </w:rPr>
        <w:t>cottish Association of Social Workers (S</w:t>
      </w:r>
      <w:r w:rsidRPr="00F24A4B">
        <w:rPr>
          <w:rStyle w:val="normaltextrun"/>
          <w:rFonts w:ascii="Verdana" w:hAnsi="Verdana"/>
          <w:color w:val="000000"/>
          <w:sz w:val="22"/>
          <w:szCs w:val="22"/>
          <w:shd w:val="clear" w:color="auto" w:fill="FFFFFF"/>
        </w:rPr>
        <w:t>ASW</w:t>
      </w:r>
      <w:r>
        <w:rPr>
          <w:rStyle w:val="normaltextrun"/>
          <w:rFonts w:ascii="Verdana" w:hAnsi="Verdana"/>
          <w:color w:val="000000"/>
          <w:sz w:val="22"/>
          <w:szCs w:val="22"/>
          <w:shd w:val="clear" w:color="auto" w:fill="FFFFFF"/>
        </w:rPr>
        <w:t>)</w:t>
      </w:r>
      <w:r w:rsidRPr="00F24A4B">
        <w:rPr>
          <w:rStyle w:val="normaltextrun"/>
          <w:rFonts w:ascii="Verdana" w:hAnsi="Verdana"/>
          <w:color w:val="000000"/>
          <w:sz w:val="22"/>
          <w:szCs w:val="22"/>
          <w:shd w:val="clear" w:color="auto" w:fill="FFFFFF"/>
        </w:rPr>
        <w:t>, S</w:t>
      </w:r>
      <w:r>
        <w:rPr>
          <w:rStyle w:val="normaltextrun"/>
          <w:rFonts w:ascii="Verdana" w:hAnsi="Verdana"/>
          <w:color w:val="000000"/>
          <w:sz w:val="22"/>
          <w:szCs w:val="22"/>
          <w:shd w:val="clear" w:color="auto" w:fill="FFFFFF"/>
        </w:rPr>
        <w:t>ocial Work Education Partnership (S</w:t>
      </w:r>
      <w:r w:rsidRPr="00F24A4B">
        <w:rPr>
          <w:rStyle w:val="normaltextrun"/>
          <w:rFonts w:ascii="Verdana" w:hAnsi="Verdana"/>
          <w:color w:val="000000"/>
          <w:sz w:val="22"/>
          <w:szCs w:val="22"/>
          <w:shd w:val="clear" w:color="auto" w:fill="FFFFFF"/>
        </w:rPr>
        <w:t>WEP</w:t>
      </w:r>
      <w:r>
        <w:rPr>
          <w:rStyle w:val="normaltextrun"/>
          <w:rFonts w:ascii="Verdana" w:hAnsi="Verdana"/>
          <w:color w:val="000000"/>
          <w:sz w:val="22"/>
          <w:szCs w:val="22"/>
          <w:shd w:val="clear" w:color="auto" w:fill="FFFFFF"/>
        </w:rPr>
        <w:t>)</w:t>
      </w:r>
      <w:r w:rsidRPr="00F24A4B">
        <w:rPr>
          <w:rStyle w:val="normaltextrun"/>
          <w:rFonts w:ascii="Verdana" w:hAnsi="Verdana"/>
          <w:color w:val="000000"/>
          <w:sz w:val="22"/>
          <w:szCs w:val="22"/>
          <w:shd w:val="clear" w:color="auto" w:fill="FFFFFF"/>
        </w:rPr>
        <w:t xml:space="preserve">, </w:t>
      </w:r>
      <w:r>
        <w:rPr>
          <w:rStyle w:val="normaltextrun"/>
          <w:rFonts w:ascii="Verdana" w:hAnsi="Verdana"/>
          <w:color w:val="000000"/>
          <w:sz w:val="22"/>
          <w:szCs w:val="22"/>
          <w:shd w:val="clear" w:color="auto" w:fill="FFFFFF"/>
        </w:rPr>
        <w:t>universities</w:t>
      </w:r>
      <w:r w:rsidRPr="00F24A4B">
        <w:rPr>
          <w:rStyle w:val="normaltextrun"/>
          <w:rFonts w:ascii="Verdana" w:hAnsi="Verdana"/>
          <w:color w:val="000000"/>
          <w:sz w:val="22"/>
          <w:szCs w:val="22"/>
          <w:shd w:val="clear" w:color="auto" w:fill="FFFFFF"/>
        </w:rPr>
        <w:t xml:space="preserve">, SSSC and more recently </w:t>
      </w:r>
      <w:r>
        <w:rPr>
          <w:rStyle w:val="normaltextrun"/>
          <w:rFonts w:ascii="Verdana" w:hAnsi="Verdana"/>
          <w:color w:val="000000"/>
          <w:sz w:val="22"/>
          <w:szCs w:val="22"/>
          <w:shd w:val="clear" w:color="auto" w:fill="FFFFFF"/>
        </w:rPr>
        <w:t>Convention of Scottish Local Authorities (</w:t>
      </w:r>
      <w:r w:rsidRPr="00F24A4B">
        <w:rPr>
          <w:rStyle w:val="normaltextrun"/>
          <w:rFonts w:ascii="Verdana" w:hAnsi="Verdana"/>
          <w:color w:val="000000"/>
          <w:sz w:val="22"/>
          <w:szCs w:val="22"/>
          <w:shd w:val="clear" w:color="auto" w:fill="FFFFFF"/>
        </w:rPr>
        <w:t>COSLA</w:t>
      </w:r>
      <w:r>
        <w:rPr>
          <w:rStyle w:val="normaltextrun"/>
          <w:rFonts w:ascii="Verdana" w:hAnsi="Verdana"/>
          <w:color w:val="000000"/>
          <w:sz w:val="22"/>
          <w:szCs w:val="22"/>
          <w:shd w:val="clear" w:color="auto" w:fill="FFFFFF"/>
        </w:rPr>
        <w:t>)</w:t>
      </w:r>
      <w:r w:rsidRPr="00F24A4B">
        <w:rPr>
          <w:rStyle w:val="normaltextrun"/>
          <w:rFonts w:ascii="Verdana" w:hAnsi="Verdana"/>
          <w:color w:val="000000"/>
          <w:sz w:val="22"/>
          <w:szCs w:val="22"/>
          <w:shd w:val="clear" w:color="auto" w:fill="FFFFFF"/>
        </w:rPr>
        <w:t xml:space="preserve"> and the Care Inspectorate.</w:t>
      </w:r>
    </w:p>
    <w:p w14:paraId="17B2216F" w14:textId="27B956A0" w:rsidR="004A5386" w:rsidRDefault="004A5386" w:rsidP="005638A5">
      <w:pPr>
        <w:pStyle w:val="paragraph"/>
        <w:spacing w:before="0" w:beforeAutospacing="0" w:after="0" w:afterAutospacing="0"/>
        <w:textAlignment w:val="baseline"/>
        <w:rPr>
          <w:rStyle w:val="normaltextrun"/>
          <w:rFonts w:ascii="Verdana" w:hAnsi="Verdana"/>
          <w:color w:val="000000"/>
          <w:sz w:val="22"/>
          <w:szCs w:val="22"/>
          <w:shd w:val="clear" w:color="auto" w:fill="FFFFFF"/>
        </w:rPr>
      </w:pPr>
    </w:p>
    <w:p w14:paraId="0C3CED8D" w14:textId="2BC278F2" w:rsidR="004A5386" w:rsidRDefault="004A5386" w:rsidP="005638A5">
      <w:pPr>
        <w:pStyle w:val="paragraph"/>
        <w:spacing w:before="0" w:beforeAutospacing="0" w:after="0" w:afterAutospacing="0"/>
        <w:textAlignment w:val="baseline"/>
        <w:rPr>
          <w:rStyle w:val="normaltextrun"/>
          <w:rFonts w:ascii="Verdana" w:hAnsi="Verdana"/>
          <w:color w:val="000000"/>
          <w:sz w:val="22"/>
          <w:szCs w:val="22"/>
          <w:shd w:val="clear" w:color="auto" w:fill="FFFFFF"/>
        </w:rPr>
      </w:pPr>
      <w:r w:rsidRPr="004A5386">
        <w:rPr>
          <w:rStyle w:val="normaltextrun"/>
          <w:rFonts w:ascii="Verdana" w:hAnsi="Verdana"/>
          <w:color w:val="000000"/>
          <w:sz w:val="22"/>
          <w:szCs w:val="22"/>
          <w:shd w:val="clear" w:color="auto" w:fill="FFFFFF"/>
        </w:rPr>
        <w:t xml:space="preserve">The </w:t>
      </w:r>
      <w:r w:rsidR="00CC24D7">
        <w:rPr>
          <w:rStyle w:val="normaltextrun"/>
          <w:rFonts w:ascii="Verdana" w:hAnsi="Verdana"/>
          <w:color w:val="000000"/>
          <w:sz w:val="22"/>
          <w:szCs w:val="22"/>
          <w:shd w:val="clear" w:color="auto" w:fill="FFFFFF"/>
        </w:rPr>
        <w:t>core</w:t>
      </w:r>
      <w:r w:rsidRPr="004A5386">
        <w:rPr>
          <w:rStyle w:val="normaltextrun"/>
          <w:rFonts w:ascii="Verdana" w:hAnsi="Verdana"/>
          <w:color w:val="000000"/>
          <w:sz w:val="22"/>
          <w:szCs w:val="22"/>
          <w:shd w:val="clear" w:color="auto" w:fill="FFFFFF"/>
        </w:rPr>
        <w:t xml:space="preserve"> elements of the NQSW Supported Year have been agreed in principle by the Implementation Group with the final detail to be confirmed during early implementation</w:t>
      </w:r>
      <w:r w:rsidR="00CC24D7">
        <w:rPr>
          <w:rStyle w:val="normaltextrun"/>
          <w:rFonts w:ascii="Verdana" w:hAnsi="Verdana"/>
          <w:color w:val="000000"/>
          <w:sz w:val="22"/>
          <w:szCs w:val="22"/>
          <w:shd w:val="clear" w:color="auto" w:fill="FFFFFF"/>
        </w:rPr>
        <w:t xml:space="preserve"> phase</w:t>
      </w:r>
      <w:r w:rsidRPr="004A5386">
        <w:rPr>
          <w:rStyle w:val="normaltextrun"/>
          <w:rFonts w:ascii="Verdana" w:hAnsi="Verdana"/>
          <w:color w:val="000000"/>
          <w:sz w:val="22"/>
          <w:szCs w:val="22"/>
          <w:shd w:val="clear" w:color="auto" w:fill="FFFFFF"/>
        </w:rPr>
        <w:t xml:space="preserve">.  </w:t>
      </w:r>
      <w:r w:rsidR="00F67AD6">
        <w:rPr>
          <w:rStyle w:val="normaltextrun"/>
          <w:rFonts w:ascii="Verdana" w:hAnsi="Verdana"/>
          <w:color w:val="000000"/>
          <w:sz w:val="22"/>
          <w:szCs w:val="22"/>
          <w:shd w:val="clear" w:color="auto" w:fill="FFFFFF"/>
        </w:rPr>
        <w:t xml:space="preserve">Chief Social Work Officers have also indicated support for the NQSW Supported Year. </w:t>
      </w:r>
    </w:p>
    <w:p w14:paraId="5C4535C8" w14:textId="77777777" w:rsidR="005638A5" w:rsidRDefault="005638A5" w:rsidP="005638A5">
      <w:pPr>
        <w:pStyle w:val="paragraph"/>
        <w:spacing w:before="0" w:beforeAutospacing="0" w:after="0" w:afterAutospacing="0"/>
        <w:textAlignment w:val="baseline"/>
        <w:rPr>
          <w:rStyle w:val="normaltextrun"/>
          <w:rFonts w:ascii="Verdana" w:hAnsi="Verdana"/>
          <w:color w:val="000000"/>
          <w:sz w:val="22"/>
          <w:szCs w:val="22"/>
          <w:shd w:val="clear" w:color="auto" w:fill="FFFFFF"/>
        </w:rPr>
      </w:pPr>
    </w:p>
    <w:p w14:paraId="004AE1CE" w14:textId="77777777" w:rsidR="00CC24D7" w:rsidRDefault="00CC24D7" w:rsidP="00CC24D7">
      <w:pPr>
        <w:pStyle w:val="paragraph"/>
        <w:spacing w:before="0" w:beforeAutospacing="0" w:after="0" w:afterAutospacing="0"/>
        <w:textAlignment w:val="baseline"/>
        <w:rPr>
          <w:rStyle w:val="normaltextrun"/>
          <w:rFonts w:ascii="Verdana" w:eastAsiaTheme="minorEastAsia" w:hAnsi="Verdana" w:cs="Calibri"/>
          <w:sz w:val="22"/>
          <w:szCs w:val="22"/>
        </w:rPr>
      </w:pPr>
      <w:r w:rsidRPr="00241B92">
        <w:rPr>
          <w:rStyle w:val="normaltextrun"/>
          <w:rFonts w:ascii="Verdana" w:eastAsiaTheme="minorEastAsia" w:hAnsi="Verdana" w:cs="Calibri"/>
          <w:sz w:val="22"/>
          <w:szCs w:val="22"/>
        </w:rPr>
        <w:t>Funding has been allocated by the Scottish Government to support a small-scale early implementation of the NQSW Supported Year</w:t>
      </w:r>
      <w:r>
        <w:rPr>
          <w:rStyle w:val="normaltextrun"/>
          <w:rFonts w:ascii="Verdana" w:eastAsiaTheme="minorEastAsia" w:hAnsi="Verdana" w:cs="Calibri"/>
          <w:sz w:val="22"/>
          <w:szCs w:val="22"/>
        </w:rPr>
        <w:t xml:space="preserve"> which will inform any further refinement of the approach and </w:t>
      </w:r>
      <w:r w:rsidRPr="00E408E3">
        <w:rPr>
          <w:rStyle w:val="normaltextrun"/>
          <w:rFonts w:ascii="Verdana" w:eastAsiaTheme="minorEastAsia" w:hAnsi="Verdana" w:cs="Calibri"/>
          <w:sz w:val="22"/>
          <w:szCs w:val="22"/>
        </w:rPr>
        <w:t xml:space="preserve">the final recommendations to be submitted to the Scottish Government in March 2022.  </w:t>
      </w:r>
    </w:p>
    <w:p w14:paraId="60AFAF77" w14:textId="4EEB4058" w:rsidR="00C31D21" w:rsidRDefault="00C31D21" w:rsidP="00BD2984">
      <w:pPr>
        <w:pStyle w:val="paragraph"/>
        <w:spacing w:before="0" w:beforeAutospacing="0" w:after="0" w:afterAutospacing="0"/>
        <w:textAlignment w:val="baseline"/>
        <w:rPr>
          <w:rStyle w:val="normaltextrun"/>
          <w:rFonts w:ascii="Verdana" w:hAnsi="Verdana"/>
          <w:color w:val="000000"/>
          <w:sz w:val="22"/>
          <w:szCs w:val="22"/>
          <w:shd w:val="clear" w:color="auto" w:fill="FFFFFF"/>
        </w:rPr>
      </w:pPr>
    </w:p>
    <w:p w14:paraId="15C5754C" w14:textId="19858399" w:rsidR="002A0517" w:rsidRDefault="002A0517" w:rsidP="003E5A35">
      <w:pPr>
        <w:pStyle w:val="paragraph"/>
        <w:spacing w:before="0" w:beforeAutospacing="0" w:after="0" w:afterAutospacing="0"/>
        <w:textAlignment w:val="baseline"/>
        <w:rPr>
          <w:rFonts w:ascii="Verdana" w:hAnsi="Verdana" w:cs="Calibri"/>
          <w:color w:val="000000"/>
          <w:sz w:val="22"/>
          <w:szCs w:val="22"/>
          <w:shd w:val="clear" w:color="auto" w:fill="FFFFFF"/>
        </w:rPr>
      </w:pPr>
      <w:r w:rsidRPr="002A0517">
        <w:rPr>
          <w:rFonts w:ascii="Verdana" w:hAnsi="Verdana" w:cs="Calibri"/>
          <w:color w:val="000000"/>
          <w:sz w:val="22"/>
          <w:szCs w:val="22"/>
          <w:shd w:val="clear" w:color="auto" w:fill="FFFFFF"/>
        </w:rPr>
        <w:t>Employers and senior leaders will have a critical role to play in the successful implementation and delivery of the NQSW Supported Year and in achieving the aim of a consistent and robust appropriate experience for NQSWs joining the social work profession.  Given the current context, it is more critical than ever to have a nationally agreed approach to supporting the professional identity of social workers and retaining them within the workforce.</w:t>
      </w:r>
    </w:p>
    <w:p w14:paraId="3216330A" w14:textId="18B0D1CA" w:rsidR="00517641" w:rsidRDefault="00517641" w:rsidP="003E5A35">
      <w:pPr>
        <w:pStyle w:val="paragraph"/>
        <w:spacing w:before="0" w:beforeAutospacing="0" w:after="0" w:afterAutospacing="0"/>
        <w:textAlignment w:val="baseline"/>
        <w:rPr>
          <w:rFonts w:ascii="Verdana" w:hAnsi="Verdana" w:cs="Calibri"/>
          <w:color w:val="000000"/>
          <w:sz w:val="22"/>
          <w:szCs w:val="22"/>
          <w:shd w:val="clear" w:color="auto" w:fill="FFFFFF"/>
        </w:rPr>
      </w:pPr>
    </w:p>
    <w:p w14:paraId="526CECFA" w14:textId="45929F19" w:rsidR="00517641" w:rsidRDefault="00517641" w:rsidP="003E5A35">
      <w:pPr>
        <w:pStyle w:val="paragraph"/>
        <w:spacing w:before="0" w:beforeAutospacing="0" w:after="0" w:afterAutospacing="0"/>
        <w:textAlignment w:val="baseline"/>
        <w:rPr>
          <w:rFonts w:ascii="Verdana" w:hAnsi="Verdana" w:cs="Calibri"/>
          <w:color w:val="000000"/>
          <w:sz w:val="22"/>
          <w:szCs w:val="22"/>
          <w:shd w:val="clear" w:color="auto" w:fill="FFFFFF"/>
        </w:rPr>
      </w:pPr>
      <w:r>
        <w:rPr>
          <w:rFonts w:ascii="Verdana" w:hAnsi="Verdana" w:cs="Calibri"/>
          <w:color w:val="000000"/>
          <w:sz w:val="22"/>
          <w:szCs w:val="22"/>
          <w:shd w:val="clear" w:color="auto" w:fill="FFFFFF"/>
        </w:rPr>
        <w:t xml:space="preserve">This document provides an overview of the NQSW Supported Year and the </w:t>
      </w:r>
      <w:r w:rsidR="00252CFB">
        <w:rPr>
          <w:rFonts w:ascii="Verdana" w:hAnsi="Verdana" w:cs="Calibri"/>
          <w:color w:val="000000"/>
          <w:sz w:val="22"/>
          <w:szCs w:val="22"/>
          <w:shd w:val="clear" w:color="auto" w:fill="FFFFFF"/>
        </w:rPr>
        <w:t xml:space="preserve">definitions of the core elements employers </w:t>
      </w:r>
      <w:r w:rsidR="00124370">
        <w:rPr>
          <w:rFonts w:ascii="Verdana" w:hAnsi="Verdana" w:cs="Calibri"/>
          <w:color w:val="000000"/>
          <w:sz w:val="22"/>
          <w:szCs w:val="22"/>
          <w:shd w:val="clear" w:color="auto" w:fill="FFFFFF"/>
        </w:rPr>
        <w:t xml:space="preserve">will be responsible for providing.  </w:t>
      </w:r>
      <w:r w:rsidR="004E4DA8">
        <w:rPr>
          <w:rFonts w:ascii="Verdana" w:hAnsi="Verdana" w:cs="Calibri"/>
          <w:color w:val="000000"/>
          <w:sz w:val="22"/>
          <w:szCs w:val="22"/>
          <w:shd w:val="clear" w:color="auto" w:fill="FFFFFF"/>
        </w:rPr>
        <w:t>Many employers will have some</w:t>
      </w:r>
      <w:r w:rsidR="00D660A7">
        <w:rPr>
          <w:rFonts w:ascii="Verdana" w:hAnsi="Verdana" w:cs="Calibri"/>
          <w:color w:val="000000"/>
          <w:sz w:val="22"/>
          <w:szCs w:val="22"/>
          <w:shd w:val="clear" w:color="auto" w:fill="FFFFFF"/>
        </w:rPr>
        <w:t xml:space="preserve"> of the core elements already in place.  </w:t>
      </w:r>
      <w:r w:rsidR="00124370">
        <w:rPr>
          <w:rFonts w:ascii="Verdana" w:hAnsi="Verdana" w:cs="Calibri"/>
          <w:color w:val="000000"/>
          <w:sz w:val="22"/>
          <w:szCs w:val="22"/>
          <w:shd w:val="clear" w:color="auto" w:fill="FFFFFF"/>
        </w:rPr>
        <w:t xml:space="preserve">Further detail and support will be offered to </w:t>
      </w:r>
      <w:r w:rsidR="002B6661">
        <w:rPr>
          <w:rFonts w:ascii="Verdana" w:hAnsi="Verdana" w:cs="Calibri"/>
          <w:color w:val="000000"/>
          <w:sz w:val="22"/>
          <w:szCs w:val="22"/>
          <w:shd w:val="clear" w:color="auto" w:fill="FFFFFF"/>
        </w:rPr>
        <w:t xml:space="preserve">the </w:t>
      </w:r>
      <w:r w:rsidR="00D660A7">
        <w:rPr>
          <w:rFonts w:ascii="Verdana" w:hAnsi="Verdana" w:cs="Calibri"/>
          <w:color w:val="000000"/>
          <w:sz w:val="22"/>
          <w:szCs w:val="22"/>
          <w:shd w:val="clear" w:color="auto" w:fill="FFFFFF"/>
        </w:rPr>
        <w:t xml:space="preserve">early implementation </w:t>
      </w:r>
      <w:r w:rsidR="00124370">
        <w:rPr>
          <w:rFonts w:ascii="Verdana" w:hAnsi="Verdana" w:cs="Calibri"/>
          <w:color w:val="000000"/>
          <w:sz w:val="22"/>
          <w:szCs w:val="22"/>
          <w:shd w:val="clear" w:color="auto" w:fill="FFFFFF"/>
        </w:rPr>
        <w:t>areas</w:t>
      </w:r>
      <w:r w:rsidR="00446B41">
        <w:rPr>
          <w:rFonts w:ascii="Verdana" w:hAnsi="Verdana" w:cs="Calibri"/>
          <w:color w:val="000000"/>
          <w:sz w:val="22"/>
          <w:szCs w:val="22"/>
          <w:shd w:val="clear" w:color="auto" w:fill="FFFFFF"/>
        </w:rPr>
        <w:t xml:space="preserve"> by the SSSC NQSW project team</w:t>
      </w:r>
      <w:r w:rsidR="00124370">
        <w:rPr>
          <w:rFonts w:ascii="Verdana" w:hAnsi="Verdana" w:cs="Calibri"/>
          <w:color w:val="000000"/>
          <w:sz w:val="22"/>
          <w:szCs w:val="22"/>
          <w:shd w:val="clear" w:color="auto" w:fill="FFFFFF"/>
        </w:rPr>
        <w:t xml:space="preserve">.    </w:t>
      </w:r>
      <w:r w:rsidR="00252CFB">
        <w:rPr>
          <w:rFonts w:ascii="Verdana" w:hAnsi="Verdana" w:cs="Calibri"/>
          <w:color w:val="000000"/>
          <w:sz w:val="22"/>
          <w:szCs w:val="22"/>
          <w:shd w:val="clear" w:color="auto" w:fill="FFFFFF"/>
        </w:rPr>
        <w:t xml:space="preserve"> </w:t>
      </w:r>
    </w:p>
    <w:p w14:paraId="442CEA6E" w14:textId="0A2A48AB" w:rsidR="00670628" w:rsidRDefault="00670628" w:rsidP="003E5A35">
      <w:pPr>
        <w:pStyle w:val="paragraph"/>
        <w:spacing w:before="0" w:beforeAutospacing="0" w:after="0" w:afterAutospacing="0"/>
        <w:textAlignment w:val="baseline"/>
        <w:rPr>
          <w:rFonts w:ascii="Verdana" w:hAnsi="Verdana" w:cs="Calibri"/>
          <w:color w:val="000000"/>
          <w:sz w:val="22"/>
          <w:szCs w:val="22"/>
          <w:shd w:val="clear" w:color="auto" w:fill="FFFFFF"/>
        </w:rPr>
      </w:pPr>
    </w:p>
    <w:p w14:paraId="13327F45" w14:textId="77777777" w:rsidR="00670628" w:rsidRDefault="00670628" w:rsidP="003E5A35">
      <w:pPr>
        <w:pStyle w:val="paragraph"/>
        <w:spacing w:before="0" w:beforeAutospacing="0" w:after="0" w:afterAutospacing="0"/>
        <w:textAlignment w:val="baseline"/>
        <w:rPr>
          <w:rFonts w:ascii="Verdana" w:hAnsi="Verdana" w:cs="Calibri"/>
          <w:color w:val="000000"/>
          <w:sz w:val="22"/>
          <w:szCs w:val="22"/>
          <w:shd w:val="clear" w:color="auto" w:fill="FFFFFF"/>
        </w:rPr>
      </w:pPr>
    </w:p>
    <w:p w14:paraId="5DA01744" w14:textId="131619BD" w:rsidR="00AC3219" w:rsidRPr="00076756" w:rsidRDefault="008B2CA5" w:rsidP="00AC3219">
      <w:pPr>
        <w:pStyle w:val="Heading1"/>
        <w:rPr>
          <w:rFonts w:ascii="Verdana" w:hAnsi="Verdana"/>
          <w:b/>
          <w:bCs/>
          <w:color w:val="00498F"/>
          <w:sz w:val="28"/>
          <w:szCs w:val="28"/>
        </w:rPr>
      </w:pPr>
      <w:bookmarkStart w:id="1" w:name="_Toc72516744"/>
      <w:r>
        <w:rPr>
          <w:rFonts w:ascii="Verdana" w:hAnsi="Verdana"/>
          <w:b/>
          <w:bCs/>
          <w:color w:val="00498F"/>
          <w:sz w:val="28"/>
          <w:szCs w:val="28"/>
        </w:rPr>
        <w:lastRenderedPageBreak/>
        <w:t xml:space="preserve">Overview of </w:t>
      </w:r>
      <w:r w:rsidR="00AC3219" w:rsidRPr="00076756">
        <w:rPr>
          <w:rFonts w:ascii="Verdana" w:hAnsi="Verdana"/>
          <w:b/>
          <w:bCs/>
          <w:color w:val="00498F"/>
          <w:sz w:val="28"/>
          <w:szCs w:val="28"/>
        </w:rPr>
        <w:t xml:space="preserve">NQSW </w:t>
      </w:r>
      <w:r w:rsidR="00E010A9" w:rsidRPr="00076756">
        <w:rPr>
          <w:rFonts w:ascii="Verdana" w:hAnsi="Verdana"/>
          <w:b/>
          <w:bCs/>
          <w:color w:val="00498F"/>
          <w:sz w:val="28"/>
          <w:szCs w:val="28"/>
        </w:rPr>
        <w:t>Support</w:t>
      </w:r>
      <w:r w:rsidR="003575C1" w:rsidRPr="00076756">
        <w:rPr>
          <w:rFonts w:ascii="Verdana" w:hAnsi="Verdana"/>
          <w:b/>
          <w:bCs/>
          <w:color w:val="00498F"/>
          <w:sz w:val="28"/>
          <w:szCs w:val="28"/>
        </w:rPr>
        <w:t>ed</w:t>
      </w:r>
      <w:r w:rsidR="00E010A9" w:rsidRPr="00076756">
        <w:rPr>
          <w:rFonts w:ascii="Verdana" w:hAnsi="Verdana"/>
          <w:b/>
          <w:bCs/>
          <w:color w:val="00498F"/>
          <w:sz w:val="28"/>
          <w:szCs w:val="28"/>
        </w:rPr>
        <w:t xml:space="preserve"> Year</w:t>
      </w:r>
      <w:bookmarkEnd w:id="1"/>
      <w:r w:rsidR="00E010A9" w:rsidRPr="00076756">
        <w:rPr>
          <w:rFonts w:ascii="Verdana" w:hAnsi="Verdana"/>
          <w:b/>
          <w:bCs/>
          <w:color w:val="00498F"/>
          <w:sz w:val="28"/>
          <w:szCs w:val="28"/>
        </w:rPr>
        <w:t xml:space="preserve"> </w:t>
      </w:r>
    </w:p>
    <w:p w14:paraId="23463D4D" w14:textId="58AA75E2" w:rsidR="00D82CBA" w:rsidRPr="00EA6FCF" w:rsidRDefault="00D82CBA" w:rsidP="00D82CBA"/>
    <w:p w14:paraId="60B48941" w14:textId="36EA3D10" w:rsidR="00EA6FCF" w:rsidRDefault="00EA6FCF" w:rsidP="00EA6FCF">
      <w:pPr>
        <w:textAlignment w:val="baseline"/>
        <w:rPr>
          <w:rStyle w:val="normaltextrun"/>
          <w:szCs w:val="22"/>
          <w:shd w:val="clear" w:color="auto" w:fill="FFFFFF"/>
        </w:rPr>
      </w:pPr>
      <w:r w:rsidRPr="00EA6FCF">
        <w:rPr>
          <w:rFonts w:eastAsia="Times New Roman" w:cs="Segoe UI"/>
          <w:szCs w:val="22"/>
          <w:lang w:eastAsia="en-GB"/>
        </w:rPr>
        <w:t xml:space="preserve">The NQSW Supported Year is a </w:t>
      </w:r>
      <w:r w:rsidRPr="00EA6FCF">
        <w:rPr>
          <w:rStyle w:val="normaltextrun"/>
          <w:szCs w:val="22"/>
          <w:shd w:val="clear" w:color="auto" w:fill="FFFFFF"/>
        </w:rPr>
        <w:t>best practice model to support NQSW transition to the workforce which ensures an increasingly confident and competent workforce for people who use services and their families. </w:t>
      </w:r>
    </w:p>
    <w:p w14:paraId="5335534C" w14:textId="7CA29143" w:rsidR="00EA6FCF" w:rsidRDefault="00EA6FCF" w:rsidP="00EA6FCF">
      <w:pPr>
        <w:textAlignment w:val="baseline"/>
        <w:rPr>
          <w:rStyle w:val="normaltextrun"/>
          <w:szCs w:val="22"/>
          <w:shd w:val="clear" w:color="auto" w:fill="FFFFFF"/>
        </w:rPr>
      </w:pPr>
    </w:p>
    <w:p w14:paraId="03ABB466" w14:textId="73AA925D" w:rsidR="00460F02" w:rsidRDefault="00A82523" w:rsidP="00EA6FCF">
      <w:pPr>
        <w:textAlignment w:val="baseline"/>
        <w:rPr>
          <w:rStyle w:val="normaltextrun"/>
          <w:szCs w:val="22"/>
          <w:shd w:val="clear" w:color="auto" w:fill="FFFFFF"/>
        </w:rPr>
      </w:pPr>
      <w:r>
        <w:rPr>
          <w:rStyle w:val="normaltextrun"/>
          <w:szCs w:val="22"/>
          <w:shd w:val="clear" w:color="auto" w:fill="FFFFFF"/>
        </w:rPr>
        <w:t>It</w:t>
      </w:r>
      <w:r w:rsidR="00F3049F">
        <w:rPr>
          <w:rStyle w:val="normaltextrun"/>
          <w:szCs w:val="22"/>
          <w:shd w:val="clear" w:color="auto" w:fill="FFFFFF"/>
        </w:rPr>
        <w:t xml:space="preserve"> outlines </w:t>
      </w:r>
      <w:r w:rsidR="00975C5E">
        <w:rPr>
          <w:rStyle w:val="normaltextrun"/>
          <w:szCs w:val="22"/>
          <w:shd w:val="clear" w:color="auto" w:fill="FFFFFF"/>
        </w:rPr>
        <w:t xml:space="preserve">the </w:t>
      </w:r>
      <w:r w:rsidR="00975C5E" w:rsidRPr="00460F02">
        <w:rPr>
          <w:rStyle w:val="normaltextrun"/>
          <w:szCs w:val="22"/>
          <w:shd w:val="clear" w:color="auto" w:fill="FFFFFF"/>
        </w:rPr>
        <w:t xml:space="preserve">approach </w:t>
      </w:r>
      <w:r w:rsidR="00460F02" w:rsidRPr="00460F02">
        <w:rPr>
          <w:rStyle w:val="normaltextrun"/>
          <w:szCs w:val="22"/>
          <w:shd w:val="clear" w:color="auto" w:fill="FFFFFF"/>
        </w:rPr>
        <w:t xml:space="preserve">NQSWs, supervisors and employers will follow to meet their respective responsibilities in addressing the </w:t>
      </w:r>
      <w:r w:rsidR="003C47BF" w:rsidRPr="002F2EA4">
        <w:rPr>
          <w:rStyle w:val="normaltextrun"/>
          <w:szCs w:val="22"/>
          <w:shd w:val="clear" w:color="auto" w:fill="FFFFFF"/>
        </w:rPr>
        <w:t>minimum support</w:t>
      </w:r>
      <w:r w:rsidR="003C47BF">
        <w:rPr>
          <w:rStyle w:val="normaltextrun"/>
          <w:szCs w:val="22"/>
          <w:shd w:val="clear" w:color="auto" w:fill="FFFFFF"/>
        </w:rPr>
        <w:t>,</w:t>
      </w:r>
      <w:r w:rsidR="003C47BF" w:rsidRPr="002F2EA4">
        <w:rPr>
          <w:rStyle w:val="normaltextrun"/>
          <w:szCs w:val="22"/>
          <w:shd w:val="clear" w:color="auto" w:fill="FFFFFF"/>
        </w:rPr>
        <w:t xml:space="preserve"> </w:t>
      </w:r>
      <w:r w:rsidR="00997432">
        <w:rPr>
          <w:rStyle w:val="normaltextrun"/>
          <w:szCs w:val="22"/>
          <w:shd w:val="clear" w:color="auto" w:fill="FFFFFF"/>
        </w:rPr>
        <w:t>c</w:t>
      </w:r>
      <w:r w:rsidR="00460F02" w:rsidRPr="00460F02">
        <w:rPr>
          <w:rStyle w:val="normaltextrun"/>
          <w:szCs w:val="22"/>
          <w:shd w:val="clear" w:color="auto" w:fill="FFFFFF"/>
        </w:rPr>
        <w:t xml:space="preserve">ontinuous </w:t>
      </w:r>
      <w:r w:rsidR="00997432">
        <w:rPr>
          <w:rStyle w:val="normaltextrun"/>
          <w:szCs w:val="22"/>
          <w:shd w:val="clear" w:color="auto" w:fill="FFFFFF"/>
        </w:rPr>
        <w:t>p</w:t>
      </w:r>
      <w:r w:rsidR="00460F02" w:rsidRPr="00460F02">
        <w:rPr>
          <w:rStyle w:val="normaltextrun"/>
          <w:szCs w:val="22"/>
          <w:shd w:val="clear" w:color="auto" w:fill="FFFFFF"/>
        </w:rPr>
        <w:t xml:space="preserve">rofessional </w:t>
      </w:r>
      <w:r w:rsidR="00997432">
        <w:rPr>
          <w:rStyle w:val="normaltextrun"/>
          <w:szCs w:val="22"/>
          <w:shd w:val="clear" w:color="auto" w:fill="FFFFFF"/>
        </w:rPr>
        <w:t>l</w:t>
      </w:r>
      <w:r w:rsidR="00460F02" w:rsidRPr="00460F02">
        <w:rPr>
          <w:rStyle w:val="normaltextrun"/>
          <w:szCs w:val="22"/>
          <w:shd w:val="clear" w:color="auto" w:fill="FFFFFF"/>
        </w:rPr>
        <w:t xml:space="preserve">earning (CPL) and development requirements of NQSWs at this stage of registration.    </w:t>
      </w:r>
    </w:p>
    <w:p w14:paraId="2C3C2028" w14:textId="77777777" w:rsidR="00EA6FCF" w:rsidRPr="00EA6FCF" w:rsidRDefault="00EA6FCF" w:rsidP="00EA6FCF">
      <w:pPr>
        <w:textAlignment w:val="baseline"/>
        <w:rPr>
          <w:rStyle w:val="normaltextrun"/>
          <w:szCs w:val="22"/>
          <w:shd w:val="clear" w:color="auto" w:fill="FFFFFF"/>
        </w:rPr>
      </w:pPr>
    </w:p>
    <w:p w14:paraId="55F2D9A5" w14:textId="77777777" w:rsidR="0059565F" w:rsidRDefault="0072385C" w:rsidP="0072385C">
      <w:pPr>
        <w:textAlignment w:val="baseline"/>
        <w:rPr>
          <w:rFonts w:eastAsia="Times New Roman" w:cs="Segoe UI"/>
          <w:szCs w:val="22"/>
          <w:lang w:eastAsia="en-GB"/>
        </w:rPr>
      </w:pPr>
      <w:r w:rsidRPr="0072385C">
        <w:rPr>
          <w:rFonts w:eastAsia="Times New Roman" w:cs="Segoe UI"/>
          <w:szCs w:val="22"/>
          <w:lang w:eastAsia="en-GB"/>
        </w:rPr>
        <w:t>The NQSW Supported Year builds on the existing responsibilities of course providers, NQSWs, employers and the SSSC; including supporting transition to employment, induction, professional supervision and appraisal, and the management of registration requirements.</w:t>
      </w:r>
      <w:r w:rsidR="00E773C8">
        <w:rPr>
          <w:rFonts w:eastAsia="Times New Roman" w:cs="Segoe UI"/>
          <w:szCs w:val="22"/>
          <w:lang w:eastAsia="en-GB"/>
        </w:rPr>
        <w:t xml:space="preserve"> </w:t>
      </w:r>
    </w:p>
    <w:p w14:paraId="3A89FB0D" w14:textId="77777777" w:rsidR="0059565F" w:rsidRDefault="0059565F" w:rsidP="0072385C">
      <w:pPr>
        <w:textAlignment w:val="baseline"/>
        <w:rPr>
          <w:rFonts w:eastAsia="Times New Roman" w:cs="Segoe UI"/>
          <w:szCs w:val="22"/>
          <w:lang w:eastAsia="en-GB"/>
        </w:rPr>
      </w:pPr>
    </w:p>
    <w:p w14:paraId="756825A9" w14:textId="71BE0214" w:rsidR="002C15D8" w:rsidRPr="0054512A" w:rsidRDefault="0072385C" w:rsidP="002C15D8">
      <w:pPr>
        <w:textAlignment w:val="baseline"/>
        <w:rPr>
          <w:rFonts w:eastAsia="Times New Roman" w:cs="Segoe UI"/>
          <w:szCs w:val="22"/>
          <w:lang w:eastAsia="en-GB"/>
        </w:rPr>
      </w:pPr>
      <w:r w:rsidRPr="0072385C">
        <w:rPr>
          <w:rFonts w:eastAsia="Times New Roman" w:cs="Segoe UI"/>
          <w:szCs w:val="22"/>
          <w:lang w:eastAsia="en-GB"/>
        </w:rPr>
        <w:t xml:space="preserve">It is aligned to the SSSC registration period and the responsibilities and entitlements that are afforded under the protected title status. </w:t>
      </w:r>
      <w:r w:rsidR="0059565F">
        <w:rPr>
          <w:rFonts w:eastAsia="Times New Roman" w:cs="Segoe UI"/>
          <w:szCs w:val="22"/>
          <w:lang w:eastAsia="en-GB"/>
        </w:rPr>
        <w:t>It is</w:t>
      </w:r>
      <w:r w:rsidR="002C15D8" w:rsidRPr="0054512A">
        <w:rPr>
          <w:rFonts w:eastAsia="Times New Roman" w:cs="Segoe UI"/>
          <w:szCs w:val="22"/>
          <w:lang w:eastAsia="en-GB"/>
        </w:rPr>
        <w:t xml:space="preserve"> intended to replace the current process for NQSWs to evidence the CPL registration requirements and satisfy the SSSC regulatory responsibilities.  </w:t>
      </w:r>
    </w:p>
    <w:p w14:paraId="7EC418E8" w14:textId="3779BC6E" w:rsidR="0072385C" w:rsidRPr="0072385C" w:rsidRDefault="0072385C" w:rsidP="0072385C">
      <w:pPr>
        <w:textAlignment w:val="baseline"/>
        <w:rPr>
          <w:rFonts w:eastAsia="Times New Roman" w:cs="Segoe UI"/>
          <w:szCs w:val="22"/>
          <w:lang w:eastAsia="en-GB"/>
        </w:rPr>
      </w:pPr>
    </w:p>
    <w:p w14:paraId="345BDCF0" w14:textId="31115113" w:rsidR="00054B60" w:rsidRPr="00C15BBA" w:rsidRDefault="0072385C" w:rsidP="0072385C">
      <w:pPr>
        <w:textAlignment w:val="baseline"/>
        <w:rPr>
          <w:rFonts w:eastAsia="Times New Roman" w:cs="Segoe UI"/>
          <w:szCs w:val="22"/>
          <w:lang w:eastAsia="en-GB"/>
        </w:rPr>
      </w:pPr>
      <w:r w:rsidRPr="0072385C">
        <w:rPr>
          <w:rFonts w:eastAsia="Times New Roman" w:cs="Segoe UI"/>
          <w:szCs w:val="22"/>
          <w:lang w:eastAsia="en-GB"/>
        </w:rPr>
        <w:t xml:space="preserve">The approach </w:t>
      </w:r>
      <w:r w:rsidR="004341ED" w:rsidRPr="0054512A">
        <w:rPr>
          <w:rFonts w:eastAsia="Times New Roman" w:cs="Segoe UI"/>
          <w:szCs w:val="22"/>
          <w:lang w:eastAsia="en-GB"/>
        </w:rPr>
        <w:t>locates progression and validation of the NQSW’s development with supervisors and employers</w:t>
      </w:r>
      <w:r w:rsidR="004341ED">
        <w:rPr>
          <w:rFonts w:eastAsia="Times New Roman" w:cs="Segoe UI"/>
          <w:szCs w:val="22"/>
          <w:lang w:eastAsia="en-GB"/>
        </w:rPr>
        <w:t>.  It</w:t>
      </w:r>
      <w:r w:rsidR="004341ED" w:rsidRPr="0072385C">
        <w:rPr>
          <w:rFonts w:eastAsia="Times New Roman" w:cs="Segoe UI"/>
          <w:szCs w:val="22"/>
          <w:lang w:eastAsia="en-GB"/>
        </w:rPr>
        <w:t xml:space="preserve"> </w:t>
      </w:r>
      <w:r w:rsidRPr="0072385C">
        <w:rPr>
          <w:rFonts w:eastAsia="Times New Roman" w:cs="Segoe UI"/>
          <w:szCs w:val="22"/>
          <w:lang w:eastAsia="en-GB"/>
        </w:rPr>
        <w:t>is intended to align with existing supervisor responsibilities and employer appraisal systems or support the creation of one.</w:t>
      </w:r>
      <w:r w:rsidR="00054B60">
        <w:rPr>
          <w:rFonts w:eastAsia="Times New Roman" w:cs="Segoe UI"/>
          <w:szCs w:val="22"/>
          <w:lang w:eastAsia="en-GB"/>
        </w:rPr>
        <w:t xml:space="preserve">  </w:t>
      </w:r>
      <w:r w:rsidR="00054B60" w:rsidRPr="0054512A">
        <w:rPr>
          <w:rFonts w:eastAsia="Times New Roman" w:cs="Segoe UI"/>
          <w:szCs w:val="22"/>
          <w:lang w:eastAsia="en-GB"/>
        </w:rPr>
        <w:t xml:space="preserve">It is not intended to replace an employer’s performance management process which can encompass matters of a wider nature.  </w:t>
      </w:r>
    </w:p>
    <w:p w14:paraId="2481AD3A" w14:textId="1DDF48CA" w:rsidR="0038504B" w:rsidRDefault="0038504B" w:rsidP="0072385C">
      <w:pPr>
        <w:textAlignment w:val="baseline"/>
        <w:rPr>
          <w:rFonts w:eastAsia="Times New Roman" w:cs="Segoe UI"/>
          <w:color w:val="FF0000"/>
          <w:szCs w:val="22"/>
          <w:lang w:eastAsia="en-GB"/>
        </w:rPr>
      </w:pPr>
    </w:p>
    <w:p w14:paraId="3CE8FBEA" w14:textId="2D081742" w:rsidR="005B4484" w:rsidRDefault="005A4448" w:rsidP="005B4484">
      <w:pPr>
        <w:spacing w:after="160" w:line="259" w:lineRule="auto"/>
        <w:rPr>
          <w:rFonts w:eastAsiaTheme="minorHAnsi"/>
          <w:szCs w:val="22"/>
        </w:rPr>
      </w:pPr>
      <w:r>
        <w:rPr>
          <w:rFonts w:eastAsia="Times New Roman" w:cs="Segoe UI"/>
          <w:szCs w:val="22"/>
          <w:lang w:eastAsia="en-GB"/>
        </w:rPr>
        <w:t>It</w:t>
      </w:r>
      <w:r w:rsidR="004341ED">
        <w:rPr>
          <w:rFonts w:eastAsia="Times New Roman" w:cs="Segoe UI"/>
          <w:szCs w:val="22"/>
          <w:lang w:eastAsia="en-GB"/>
        </w:rPr>
        <w:t xml:space="preserve"> is</w:t>
      </w:r>
      <w:r w:rsidR="005B4484" w:rsidRPr="006D6696">
        <w:rPr>
          <w:rFonts w:eastAsiaTheme="minorHAnsi"/>
          <w:szCs w:val="22"/>
        </w:rPr>
        <w:t xml:space="preserve"> formative in nature and focused on evidencing the incremental consolidation and advancement of an individual’s social work professional practice during and beyond the NQSW supported year. </w:t>
      </w:r>
    </w:p>
    <w:p w14:paraId="5B0737C2" w14:textId="42505FAA" w:rsidR="00AD2810" w:rsidRDefault="005B4484" w:rsidP="005B4484">
      <w:pPr>
        <w:spacing w:after="160" w:line="259" w:lineRule="auto"/>
        <w:rPr>
          <w:rFonts w:eastAsiaTheme="minorHAnsi"/>
          <w:szCs w:val="22"/>
        </w:rPr>
      </w:pPr>
      <w:r w:rsidRPr="001A0A63">
        <w:rPr>
          <w:rFonts w:eastAsiaTheme="minorHAnsi"/>
          <w:szCs w:val="22"/>
        </w:rPr>
        <w:t xml:space="preserve">NQSWs and supervisors will </w:t>
      </w:r>
      <w:r w:rsidR="00AD2810">
        <w:rPr>
          <w:rFonts w:eastAsiaTheme="minorHAnsi"/>
          <w:szCs w:val="22"/>
        </w:rPr>
        <w:t xml:space="preserve">use structured </w:t>
      </w:r>
      <w:r w:rsidR="00AD2810" w:rsidRPr="0072385C">
        <w:rPr>
          <w:rFonts w:eastAsia="Times New Roman" w:cs="Segoe UI"/>
          <w:szCs w:val="22"/>
          <w:lang w:eastAsia="en-GB"/>
        </w:rPr>
        <w:t>professional development discussions</w:t>
      </w:r>
      <w:r w:rsidR="00AD2810" w:rsidRPr="001A0A63">
        <w:rPr>
          <w:rFonts w:eastAsiaTheme="minorHAnsi"/>
          <w:szCs w:val="22"/>
        </w:rPr>
        <w:t xml:space="preserve"> </w:t>
      </w:r>
      <w:r w:rsidR="00AD2810">
        <w:rPr>
          <w:rFonts w:eastAsiaTheme="minorHAnsi"/>
          <w:szCs w:val="22"/>
        </w:rPr>
        <w:t xml:space="preserve">to </w:t>
      </w:r>
      <w:r w:rsidRPr="001A0A63">
        <w:rPr>
          <w:rFonts w:eastAsiaTheme="minorHAnsi"/>
          <w:szCs w:val="22"/>
        </w:rPr>
        <w:t>plan and formally review the development of the NQSW against the agreed set of Standards</w:t>
      </w:r>
      <w:r>
        <w:rPr>
          <w:rFonts w:eastAsiaTheme="minorHAnsi"/>
          <w:szCs w:val="22"/>
        </w:rPr>
        <w:t xml:space="preserve"> (appendix 1)</w:t>
      </w:r>
      <w:r w:rsidRPr="001A0A63">
        <w:rPr>
          <w:rFonts w:eastAsiaTheme="minorHAnsi"/>
          <w:szCs w:val="22"/>
        </w:rPr>
        <w:t xml:space="preserve"> </w:t>
      </w:r>
      <w:r w:rsidR="00A736A0" w:rsidRPr="0072385C">
        <w:rPr>
          <w:rFonts w:eastAsia="Times New Roman" w:cs="Segoe UI"/>
          <w:szCs w:val="22"/>
          <w:lang w:eastAsia="en-GB"/>
        </w:rPr>
        <w:t>within 4 weeks of commencing employment or SSSC registration</w:t>
      </w:r>
      <w:r w:rsidR="00AD2810">
        <w:rPr>
          <w:rFonts w:eastAsia="Times New Roman" w:cs="Segoe UI"/>
          <w:szCs w:val="22"/>
          <w:lang w:eastAsia="en-GB"/>
        </w:rPr>
        <w:t xml:space="preserve">, </w:t>
      </w:r>
      <w:r w:rsidR="00AD2810" w:rsidRPr="0072385C">
        <w:rPr>
          <w:rFonts w:eastAsia="Times New Roman" w:cs="Segoe UI"/>
          <w:szCs w:val="22"/>
          <w:lang w:eastAsia="en-GB"/>
        </w:rPr>
        <w:t>mid-year and at the end of the NQSW year</w:t>
      </w:r>
      <w:r w:rsidR="004633FC">
        <w:rPr>
          <w:rFonts w:eastAsia="Times New Roman" w:cs="Segoe UI"/>
          <w:szCs w:val="22"/>
          <w:lang w:eastAsia="en-GB"/>
        </w:rPr>
        <w:t>. This will be</w:t>
      </w:r>
      <w:r w:rsidR="00AD2810" w:rsidRPr="0072385C">
        <w:rPr>
          <w:rFonts w:eastAsia="Times New Roman" w:cs="Segoe UI"/>
          <w:szCs w:val="22"/>
          <w:lang w:eastAsia="en-GB"/>
        </w:rPr>
        <w:t xml:space="preserve"> in addition to regular supervision (Fig</w:t>
      </w:r>
      <w:r w:rsidR="00AD2810" w:rsidRPr="00853C7F">
        <w:rPr>
          <w:rFonts w:eastAsia="Times New Roman" w:cs="Segoe UI"/>
          <w:szCs w:val="22"/>
          <w:lang w:eastAsia="en-GB"/>
        </w:rPr>
        <w:t xml:space="preserve">ure </w:t>
      </w:r>
      <w:r w:rsidR="00AD2810" w:rsidRPr="0072385C">
        <w:rPr>
          <w:rFonts w:eastAsia="Times New Roman" w:cs="Segoe UI"/>
          <w:szCs w:val="22"/>
          <w:lang w:eastAsia="en-GB"/>
        </w:rPr>
        <w:t>1).</w:t>
      </w:r>
      <w:r w:rsidR="00AD2810">
        <w:rPr>
          <w:rFonts w:eastAsia="Times New Roman" w:cs="Segoe UI"/>
          <w:szCs w:val="22"/>
          <w:lang w:eastAsia="en-GB"/>
        </w:rPr>
        <w:t xml:space="preserve">  </w:t>
      </w:r>
    </w:p>
    <w:p w14:paraId="7107CB1E" w14:textId="77777777" w:rsidR="00805F66" w:rsidRDefault="00805F66" w:rsidP="00FD3A9E">
      <w:pPr>
        <w:spacing w:after="160" w:line="259" w:lineRule="auto"/>
        <w:rPr>
          <w:rFonts w:eastAsiaTheme="minorHAnsi"/>
          <w:szCs w:val="22"/>
        </w:rPr>
      </w:pPr>
    </w:p>
    <w:p w14:paraId="21B6F154" w14:textId="51FCC401" w:rsidR="00D96658" w:rsidRDefault="00D96658" w:rsidP="0038504B">
      <w:pPr>
        <w:spacing w:after="160" w:line="259" w:lineRule="auto"/>
        <w:rPr>
          <w:rFonts w:eastAsiaTheme="minorHAnsi"/>
          <w:szCs w:val="22"/>
        </w:rPr>
      </w:pPr>
    </w:p>
    <w:p w14:paraId="68F8377F" w14:textId="1575FAE0" w:rsidR="002D7E91" w:rsidRDefault="002D7E91" w:rsidP="0038504B">
      <w:pPr>
        <w:spacing w:after="160" w:line="259" w:lineRule="auto"/>
        <w:rPr>
          <w:rFonts w:eastAsiaTheme="minorHAnsi"/>
          <w:szCs w:val="22"/>
        </w:rPr>
      </w:pPr>
    </w:p>
    <w:p w14:paraId="6A2620E4" w14:textId="53C8A989" w:rsidR="002D7E91" w:rsidRDefault="002D7E91" w:rsidP="0038504B">
      <w:pPr>
        <w:spacing w:after="160" w:line="259" w:lineRule="auto"/>
        <w:rPr>
          <w:rFonts w:eastAsiaTheme="minorHAnsi"/>
          <w:szCs w:val="22"/>
        </w:rPr>
      </w:pPr>
    </w:p>
    <w:p w14:paraId="541CDD63" w14:textId="7265F907" w:rsidR="002D7E91" w:rsidRDefault="002D7E91" w:rsidP="0038504B">
      <w:pPr>
        <w:spacing w:after="160" w:line="259" w:lineRule="auto"/>
        <w:rPr>
          <w:rFonts w:eastAsiaTheme="minorHAnsi"/>
          <w:szCs w:val="22"/>
        </w:rPr>
      </w:pPr>
    </w:p>
    <w:p w14:paraId="4D0F681F" w14:textId="631A3A5C" w:rsidR="002D7E91" w:rsidRDefault="002D7E91" w:rsidP="0038504B">
      <w:pPr>
        <w:spacing w:after="160" w:line="259" w:lineRule="auto"/>
        <w:rPr>
          <w:rFonts w:eastAsiaTheme="minorHAnsi"/>
          <w:szCs w:val="22"/>
        </w:rPr>
      </w:pPr>
    </w:p>
    <w:p w14:paraId="003DD81B" w14:textId="77777777" w:rsidR="002D7E91" w:rsidRDefault="002D7E91" w:rsidP="0038504B">
      <w:pPr>
        <w:spacing w:after="160" w:line="259" w:lineRule="auto"/>
        <w:rPr>
          <w:rFonts w:eastAsiaTheme="minorHAnsi"/>
          <w:szCs w:val="22"/>
        </w:rPr>
      </w:pPr>
    </w:p>
    <w:p w14:paraId="0D01FD5B" w14:textId="3DC71EA2" w:rsidR="00D96658" w:rsidRDefault="00D96658" w:rsidP="0038504B">
      <w:pPr>
        <w:spacing w:after="160" w:line="259" w:lineRule="auto"/>
        <w:rPr>
          <w:rFonts w:eastAsiaTheme="minorHAnsi"/>
          <w:szCs w:val="22"/>
        </w:rPr>
      </w:pPr>
    </w:p>
    <w:p w14:paraId="1AEF0B90" w14:textId="77777777" w:rsidR="00463793" w:rsidRDefault="00463793" w:rsidP="0038504B">
      <w:pPr>
        <w:spacing w:after="160" w:line="259" w:lineRule="auto"/>
        <w:rPr>
          <w:rFonts w:eastAsiaTheme="minorHAnsi"/>
          <w:szCs w:val="22"/>
        </w:rPr>
      </w:pPr>
    </w:p>
    <w:p w14:paraId="04A22376" w14:textId="69D991B1" w:rsidR="006D6696" w:rsidRPr="00997432" w:rsidRDefault="0038504B" w:rsidP="006D6696">
      <w:pPr>
        <w:spacing w:after="160" w:line="259" w:lineRule="auto"/>
        <w:rPr>
          <w:rFonts w:eastAsiaTheme="minorHAnsi"/>
          <w:szCs w:val="22"/>
        </w:rPr>
      </w:pPr>
      <w:r w:rsidRPr="00997432">
        <w:rPr>
          <w:rFonts w:eastAsiaTheme="minorHAnsi"/>
          <w:szCs w:val="22"/>
        </w:rPr>
        <w:lastRenderedPageBreak/>
        <w:t xml:space="preserve"> </w:t>
      </w:r>
      <w:r w:rsidR="006D6696" w:rsidRPr="00997432">
        <w:rPr>
          <w:rFonts w:eastAsiaTheme="minorHAnsi"/>
          <w:szCs w:val="22"/>
        </w:rPr>
        <w:t>Figure</w:t>
      </w:r>
      <w:r w:rsidR="00B82F54" w:rsidRPr="00997432">
        <w:rPr>
          <w:rFonts w:eastAsiaTheme="minorHAnsi"/>
          <w:szCs w:val="22"/>
        </w:rPr>
        <w:t xml:space="preserve"> </w:t>
      </w:r>
      <w:r w:rsidR="006D6696" w:rsidRPr="00997432">
        <w:rPr>
          <w:rFonts w:eastAsiaTheme="minorHAnsi"/>
          <w:szCs w:val="22"/>
        </w:rPr>
        <w:t>1 Overview of NQSW Supported Year process</w:t>
      </w:r>
    </w:p>
    <w:p w14:paraId="62CE27A2" w14:textId="0C51A912" w:rsidR="00D47F18" w:rsidRDefault="00D47F18" w:rsidP="006D6696">
      <w:pPr>
        <w:spacing w:after="160" w:line="259" w:lineRule="auto"/>
        <w:rPr>
          <w:rFonts w:eastAsiaTheme="minorHAnsi"/>
          <w:b/>
          <w:bCs/>
          <w:szCs w:val="22"/>
        </w:rPr>
      </w:pPr>
      <w:r w:rsidRPr="006D6696">
        <w:rPr>
          <w:rFonts w:eastAsiaTheme="minorHAnsi"/>
          <w:noProof/>
          <w:szCs w:val="22"/>
        </w:rPr>
        <mc:AlternateContent>
          <mc:Choice Requires="wps">
            <w:drawing>
              <wp:anchor distT="0" distB="0" distL="114300" distR="114300" simplePos="0" relativeHeight="251676672" behindDoc="0" locked="0" layoutInCell="1" allowOverlap="1" wp14:anchorId="253A23B3" wp14:editId="3E565BAE">
                <wp:simplePos x="0" y="0"/>
                <wp:positionH relativeFrom="margin">
                  <wp:posOffset>819150</wp:posOffset>
                </wp:positionH>
                <wp:positionV relativeFrom="paragraph">
                  <wp:posOffset>57786</wp:posOffset>
                </wp:positionV>
                <wp:extent cx="3829050" cy="742950"/>
                <wp:effectExtent l="0" t="0" r="19050" b="38100"/>
                <wp:wrapNone/>
                <wp:docPr id="18" name="Callout: Down Arrow 18"/>
                <wp:cNvGraphicFramePr/>
                <a:graphic xmlns:a="http://schemas.openxmlformats.org/drawingml/2006/main">
                  <a:graphicData uri="http://schemas.microsoft.com/office/word/2010/wordprocessingShape">
                    <wps:wsp>
                      <wps:cNvSpPr/>
                      <wps:spPr>
                        <a:xfrm>
                          <a:off x="0" y="0"/>
                          <a:ext cx="3829050" cy="742950"/>
                        </a:xfrm>
                        <a:prstGeom prst="downArrowCallout">
                          <a:avLst/>
                        </a:prstGeom>
                        <a:solidFill>
                          <a:srgbClr val="4472C4"/>
                        </a:solidFill>
                        <a:ln w="12700" cap="flat" cmpd="sng" algn="ctr">
                          <a:solidFill>
                            <a:srgbClr val="4472C4">
                              <a:shade val="50000"/>
                            </a:srgbClr>
                          </a:solidFill>
                          <a:prstDash val="solid"/>
                          <a:miter lim="800000"/>
                        </a:ln>
                        <a:effectLst/>
                      </wps:spPr>
                      <wps:txbx>
                        <w:txbxContent>
                          <w:p w14:paraId="113032FB" w14:textId="18F4F50F" w:rsidR="006D6696" w:rsidRPr="001B539B" w:rsidRDefault="006D6696" w:rsidP="006D6696">
                            <w:pPr>
                              <w:jc w:val="center"/>
                              <w:rPr>
                                <w:color w:val="FFFFFF" w:themeColor="background1"/>
                              </w:rPr>
                            </w:pPr>
                            <w:r w:rsidRPr="001B539B">
                              <w:rPr>
                                <w:color w:val="FFFFFF" w:themeColor="background1"/>
                              </w:rPr>
                              <w:t xml:space="preserve">Learning plan completed </w:t>
                            </w:r>
                            <w:r w:rsidR="001B539B">
                              <w:rPr>
                                <w:color w:val="FFFFFF" w:themeColor="background1"/>
                              </w:rPr>
                              <w:t>with course provider</w:t>
                            </w:r>
                            <w:r w:rsidR="00D47F18">
                              <w:rPr>
                                <w:color w:val="FFFFFF" w:themeColor="background1"/>
                              </w:rPr>
                              <w:t xml:space="preserve"> as part of transitions </w:t>
                            </w:r>
                            <w:proofErr w:type="gramStart"/>
                            <w:r w:rsidR="00D47F18">
                              <w:rPr>
                                <w:color w:val="FFFFFF" w:themeColor="background1"/>
                              </w:rPr>
                              <w:t>process</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3A23B3"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Callout: Down Arrow 18" o:spid="_x0000_s1026" type="#_x0000_t80" style="position:absolute;margin-left:64.5pt;margin-top:4.55pt;width:301.5pt;height:58.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" adj="14035,9752,16200,10276" fillcolor="#4472c4" strokecolor="#2f528f" strokeweight="1pt">
                <v:textbox>
                  <w:txbxContent>
                    <w:p w14:paraId="113032FB" w14:textId="18F4F50F" w:rsidR="006D6696" w:rsidRPr="001B539B" w:rsidRDefault="006D6696" w:rsidP="006D6696">
                      <w:pPr>
                        <w:jc w:val="center"/>
                        <w:rPr>
                          <w:color w:val="FFFFFF" w:themeColor="background1"/>
                        </w:rPr>
                      </w:pPr>
                      <w:r w:rsidRPr="001B539B">
                        <w:rPr>
                          <w:color w:val="FFFFFF" w:themeColor="background1"/>
                        </w:rPr>
                        <w:t xml:space="preserve">Learning plan completed </w:t>
                      </w:r>
                      <w:r w:rsidR="001B539B">
                        <w:rPr>
                          <w:color w:val="FFFFFF" w:themeColor="background1"/>
                        </w:rPr>
                        <w:t>with course provider</w:t>
                      </w:r>
                      <w:r w:rsidR="00D47F18">
                        <w:rPr>
                          <w:color w:val="FFFFFF" w:themeColor="background1"/>
                        </w:rPr>
                        <w:t xml:space="preserve"> as part of transitions </w:t>
                      </w:r>
                      <w:proofErr w:type="gramStart"/>
                      <w:r w:rsidR="00D47F18">
                        <w:rPr>
                          <w:color w:val="FFFFFF" w:themeColor="background1"/>
                        </w:rPr>
                        <w:t>process</w:t>
                      </w:r>
                      <w:proofErr w:type="gramEnd"/>
                    </w:p>
                  </w:txbxContent>
                </v:textbox>
                <w10:wrap anchorx="margin"/>
              </v:shape>
            </w:pict>
          </mc:Fallback>
        </mc:AlternateContent>
      </w:r>
    </w:p>
    <w:p w14:paraId="5BAE852E" w14:textId="7FB63664" w:rsidR="006D6696" w:rsidRDefault="006D6696" w:rsidP="006D6696">
      <w:pPr>
        <w:spacing w:after="160" w:line="259" w:lineRule="auto"/>
        <w:rPr>
          <w:rFonts w:eastAsiaTheme="minorHAnsi"/>
          <w:b/>
          <w:bCs/>
          <w:szCs w:val="22"/>
        </w:rPr>
      </w:pPr>
    </w:p>
    <w:p w14:paraId="73680FF6" w14:textId="77777777" w:rsidR="006D6696" w:rsidRPr="006D6696" w:rsidRDefault="006D6696" w:rsidP="006D6696">
      <w:pPr>
        <w:spacing w:after="160" w:line="259" w:lineRule="auto"/>
        <w:rPr>
          <w:rFonts w:eastAsiaTheme="minorHAnsi"/>
          <w:b/>
          <w:bCs/>
          <w:szCs w:val="22"/>
        </w:rPr>
      </w:pPr>
    </w:p>
    <w:p w14:paraId="5B371EA9" w14:textId="77777777" w:rsidR="006D6696" w:rsidRPr="006D6696" w:rsidRDefault="006D6696" w:rsidP="006D6696">
      <w:pPr>
        <w:spacing w:after="160" w:line="259" w:lineRule="auto"/>
        <w:rPr>
          <w:rFonts w:eastAsiaTheme="minorHAnsi"/>
          <w:szCs w:val="22"/>
        </w:rPr>
      </w:pPr>
      <w:r w:rsidRPr="006D6696">
        <w:rPr>
          <w:rFonts w:eastAsiaTheme="minorHAnsi"/>
          <w:noProof/>
          <w:szCs w:val="22"/>
        </w:rPr>
        <mc:AlternateContent>
          <mc:Choice Requires="wps">
            <w:drawing>
              <wp:anchor distT="0" distB="0" distL="114300" distR="114300" simplePos="0" relativeHeight="251668480" behindDoc="0" locked="0" layoutInCell="1" allowOverlap="1" wp14:anchorId="5B8714C5" wp14:editId="68349DEF">
                <wp:simplePos x="0" y="0"/>
                <wp:positionH relativeFrom="column">
                  <wp:posOffset>876300</wp:posOffset>
                </wp:positionH>
                <wp:positionV relativeFrom="paragraph">
                  <wp:posOffset>5080</wp:posOffset>
                </wp:positionV>
                <wp:extent cx="3829050" cy="504825"/>
                <wp:effectExtent l="0" t="0" r="19050" b="47625"/>
                <wp:wrapNone/>
                <wp:docPr id="3" name="Callout: Down Arrow 3"/>
                <wp:cNvGraphicFramePr/>
                <a:graphic xmlns:a="http://schemas.openxmlformats.org/drawingml/2006/main">
                  <a:graphicData uri="http://schemas.microsoft.com/office/word/2010/wordprocessingShape">
                    <wps:wsp>
                      <wps:cNvSpPr/>
                      <wps:spPr>
                        <a:xfrm>
                          <a:off x="0" y="0"/>
                          <a:ext cx="3829050" cy="504825"/>
                        </a:xfrm>
                        <a:prstGeom prst="downArrowCallout">
                          <a:avLst/>
                        </a:prstGeom>
                        <a:solidFill>
                          <a:srgbClr val="4472C4"/>
                        </a:solidFill>
                        <a:ln w="12700" cap="flat" cmpd="sng" algn="ctr">
                          <a:solidFill>
                            <a:srgbClr val="4472C4">
                              <a:shade val="50000"/>
                            </a:srgbClr>
                          </a:solidFill>
                          <a:prstDash val="solid"/>
                          <a:miter lim="800000"/>
                        </a:ln>
                        <a:effectLst/>
                      </wps:spPr>
                      <wps:txbx>
                        <w:txbxContent>
                          <w:p w14:paraId="5AB11CF5" w14:textId="77777777" w:rsidR="006D6696" w:rsidRPr="001B539B" w:rsidRDefault="006D6696" w:rsidP="006D6696">
                            <w:pPr>
                              <w:jc w:val="center"/>
                              <w:rPr>
                                <w:color w:val="FFFFFF" w:themeColor="background1"/>
                              </w:rPr>
                            </w:pPr>
                            <w:r w:rsidRPr="001B539B">
                              <w:rPr>
                                <w:color w:val="FFFFFF" w:themeColor="background1"/>
                              </w:rPr>
                              <w:t>Initial development discussion and planning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714C5" id="Callout: Down Arrow 3" o:spid="_x0000_s1027" type="#_x0000_t80" style="position:absolute;margin-left:69pt;margin-top:.4pt;width:301.5pt;height:3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" adj="14035,10088,16200,10444" fillcolor="#4472c4" strokecolor="#2f528f" strokeweight="1pt">
                <v:textbox>
                  <w:txbxContent>
                    <w:p w14:paraId="5AB11CF5" w14:textId="77777777" w:rsidR="006D6696" w:rsidRPr="001B539B" w:rsidRDefault="006D6696" w:rsidP="006D6696">
                      <w:pPr>
                        <w:jc w:val="center"/>
                        <w:rPr>
                          <w:color w:val="FFFFFF" w:themeColor="background1"/>
                        </w:rPr>
                      </w:pPr>
                      <w:r w:rsidRPr="001B539B">
                        <w:rPr>
                          <w:color w:val="FFFFFF" w:themeColor="background1"/>
                        </w:rPr>
                        <w:t>Initial development discussion and planning</w:t>
                      </w:r>
                    </w:p>
                  </w:txbxContent>
                </v:textbox>
              </v:shape>
            </w:pict>
          </mc:Fallback>
        </mc:AlternateContent>
      </w:r>
    </w:p>
    <w:p w14:paraId="6CA02D75" w14:textId="77777777" w:rsidR="006D6696" w:rsidRPr="006D6696" w:rsidRDefault="006D6696" w:rsidP="006D6696">
      <w:pPr>
        <w:spacing w:after="160" w:line="259" w:lineRule="auto"/>
        <w:rPr>
          <w:rFonts w:eastAsiaTheme="minorHAnsi"/>
          <w:szCs w:val="22"/>
        </w:rPr>
      </w:pPr>
    </w:p>
    <w:p w14:paraId="57FCC934" w14:textId="47BB45CC" w:rsidR="006D6696" w:rsidRPr="006D6696" w:rsidRDefault="00126E39" w:rsidP="006D6696">
      <w:pPr>
        <w:spacing w:after="160" w:line="259" w:lineRule="auto"/>
        <w:rPr>
          <w:rFonts w:eastAsiaTheme="minorHAnsi"/>
          <w:szCs w:val="22"/>
        </w:rPr>
      </w:pPr>
      <w:r w:rsidRPr="006D6696">
        <w:rPr>
          <w:rFonts w:eastAsiaTheme="minorHAnsi"/>
          <w:noProof/>
          <w:szCs w:val="22"/>
        </w:rPr>
        <mc:AlternateContent>
          <mc:Choice Requires="wps">
            <w:drawing>
              <wp:anchor distT="0" distB="0" distL="114300" distR="114300" simplePos="0" relativeHeight="251672576" behindDoc="0" locked="0" layoutInCell="1" allowOverlap="1" wp14:anchorId="1CD2CDD5" wp14:editId="4F57DB13">
                <wp:simplePos x="0" y="0"/>
                <wp:positionH relativeFrom="column">
                  <wp:posOffset>-802956</wp:posOffset>
                </wp:positionH>
                <wp:positionV relativeFrom="paragraph">
                  <wp:posOffset>367347</wp:posOffset>
                </wp:positionV>
                <wp:extent cx="2594610" cy="314325"/>
                <wp:effectExtent l="0" t="2858" r="12383" b="12382"/>
                <wp:wrapNone/>
                <wp:docPr id="5" name="Rectangle 5"/>
                <wp:cNvGraphicFramePr/>
                <a:graphic xmlns:a="http://schemas.openxmlformats.org/drawingml/2006/main">
                  <a:graphicData uri="http://schemas.microsoft.com/office/word/2010/wordprocessingShape">
                    <wps:wsp>
                      <wps:cNvSpPr/>
                      <wps:spPr>
                        <a:xfrm rot="16200000">
                          <a:off x="0" y="0"/>
                          <a:ext cx="2594610" cy="314325"/>
                        </a:xfrm>
                        <a:prstGeom prst="rect">
                          <a:avLst/>
                        </a:prstGeom>
                        <a:solidFill>
                          <a:srgbClr val="4472C4"/>
                        </a:solidFill>
                        <a:ln w="12700" cap="flat" cmpd="sng" algn="ctr">
                          <a:solidFill>
                            <a:srgbClr val="4472C4">
                              <a:shade val="50000"/>
                            </a:srgbClr>
                          </a:solidFill>
                          <a:prstDash val="solid"/>
                          <a:miter lim="800000"/>
                        </a:ln>
                        <a:effectLst/>
                      </wps:spPr>
                      <wps:txbx>
                        <w:txbxContent>
                          <w:p w14:paraId="2827EFE0" w14:textId="77777777" w:rsidR="006D6696" w:rsidRPr="00B82F54" w:rsidRDefault="006D6696" w:rsidP="006D6696">
                            <w:pPr>
                              <w:jc w:val="center"/>
                              <w:rPr>
                                <w:color w:val="FFFFFF" w:themeColor="background1"/>
                              </w:rPr>
                            </w:pPr>
                            <w:r w:rsidRPr="00B82F54">
                              <w:rPr>
                                <w:color w:val="FFFFFF" w:themeColor="background1"/>
                              </w:rPr>
                              <w:t>Regular Professional Supervision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D2CDD5" id="Rectangle 5" o:spid="_x0000_s1028" style="position:absolute;margin-left:-63.2pt;margin-top:28.9pt;width:204.3pt;height:24.75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" fillcolor="#4472c4" strokecolor="#2f528f" strokeweight="1pt">
                <v:textbox>
                  <w:txbxContent>
                    <w:p w14:paraId="2827EFE0" w14:textId="77777777" w:rsidR="006D6696" w:rsidRPr="00B82F54" w:rsidRDefault="006D6696" w:rsidP="006D6696">
                      <w:pPr>
                        <w:jc w:val="center"/>
                        <w:rPr>
                          <w:color w:val="FFFFFF" w:themeColor="background1"/>
                        </w:rPr>
                      </w:pPr>
                      <w:r w:rsidRPr="00B82F54">
                        <w:rPr>
                          <w:color w:val="FFFFFF" w:themeColor="background1"/>
                        </w:rPr>
                        <w:t>Regular Professional Supervision</w:t>
                      </w:r>
                    </w:p>
                  </w:txbxContent>
                </v:textbox>
              </v:rect>
            </w:pict>
          </mc:Fallback>
        </mc:AlternateContent>
      </w:r>
      <w:r w:rsidR="006D6696" w:rsidRPr="006D6696">
        <w:rPr>
          <w:rFonts w:eastAsiaTheme="minorHAnsi"/>
          <w:noProof/>
          <w:szCs w:val="22"/>
        </w:rPr>
        <mc:AlternateContent>
          <mc:Choice Requires="wps">
            <w:drawing>
              <wp:anchor distT="0" distB="0" distL="114300" distR="114300" simplePos="0" relativeHeight="251671552" behindDoc="0" locked="0" layoutInCell="1" allowOverlap="1" wp14:anchorId="459BC7E5" wp14:editId="04506F84">
                <wp:simplePos x="0" y="0"/>
                <wp:positionH relativeFrom="margin">
                  <wp:align>center</wp:align>
                </wp:positionH>
                <wp:positionV relativeFrom="paragraph">
                  <wp:posOffset>54610</wp:posOffset>
                </wp:positionV>
                <wp:extent cx="3914775" cy="685800"/>
                <wp:effectExtent l="0" t="0" r="28575" b="38100"/>
                <wp:wrapNone/>
                <wp:docPr id="4" name="Callout: Down Arrow 4"/>
                <wp:cNvGraphicFramePr/>
                <a:graphic xmlns:a="http://schemas.openxmlformats.org/drawingml/2006/main">
                  <a:graphicData uri="http://schemas.microsoft.com/office/word/2010/wordprocessingShape">
                    <wps:wsp>
                      <wps:cNvSpPr/>
                      <wps:spPr>
                        <a:xfrm>
                          <a:off x="0" y="0"/>
                          <a:ext cx="3914775" cy="685800"/>
                        </a:xfrm>
                        <a:prstGeom prst="downArrowCallout">
                          <a:avLst/>
                        </a:prstGeom>
                        <a:solidFill>
                          <a:srgbClr val="4472C4"/>
                        </a:solidFill>
                        <a:ln w="12700" cap="flat" cmpd="sng" algn="ctr">
                          <a:solidFill>
                            <a:srgbClr val="4472C4">
                              <a:shade val="50000"/>
                            </a:srgbClr>
                          </a:solidFill>
                          <a:prstDash val="solid"/>
                          <a:miter lim="800000"/>
                        </a:ln>
                        <a:effectLst/>
                      </wps:spPr>
                      <wps:txbx>
                        <w:txbxContent>
                          <w:p w14:paraId="3282F98E" w14:textId="77777777" w:rsidR="006D6696" w:rsidRPr="00730FD8" w:rsidRDefault="006D6696" w:rsidP="006D6696">
                            <w:pPr>
                              <w:jc w:val="center"/>
                              <w:rPr>
                                <w:color w:val="FFFFFF" w:themeColor="background1"/>
                              </w:rPr>
                            </w:pPr>
                            <w:r w:rsidRPr="00730FD8">
                              <w:rPr>
                                <w:color w:val="FFFFFF" w:themeColor="background1"/>
                              </w:rPr>
                              <w:t xml:space="preserve">Mid-year review </w:t>
                            </w:r>
                            <w:r>
                              <w:rPr>
                                <w:color w:val="FFFFFF" w:themeColor="background1"/>
                              </w:rPr>
                              <w:t xml:space="preserve">of progress and </w:t>
                            </w:r>
                            <w:r w:rsidRPr="00730FD8">
                              <w:rPr>
                                <w:color w:val="FFFFFF" w:themeColor="background1"/>
                              </w:rPr>
                              <w:t>individual development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BC7E5" id="Callout: Down Arrow 4" o:spid="_x0000_s1029" type="#_x0000_t80" style="position:absolute;margin-left:0;margin-top:4.3pt;width:308.25pt;height:54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" adj="14035,9854,16200,10327" fillcolor="#4472c4" strokecolor="#2f528f" strokeweight="1pt">
                <v:textbox>
                  <w:txbxContent>
                    <w:p w14:paraId="3282F98E" w14:textId="77777777" w:rsidR="006D6696" w:rsidRPr="00730FD8" w:rsidRDefault="006D6696" w:rsidP="006D6696">
                      <w:pPr>
                        <w:jc w:val="center"/>
                        <w:rPr>
                          <w:color w:val="FFFFFF" w:themeColor="background1"/>
                        </w:rPr>
                      </w:pPr>
                      <w:r w:rsidRPr="00730FD8">
                        <w:rPr>
                          <w:color w:val="FFFFFF" w:themeColor="background1"/>
                        </w:rPr>
                        <w:t xml:space="preserve">Mid-year review </w:t>
                      </w:r>
                      <w:r>
                        <w:rPr>
                          <w:color w:val="FFFFFF" w:themeColor="background1"/>
                        </w:rPr>
                        <w:t xml:space="preserve">of progress and </w:t>
                      </w:r>
                      <w:r w:rsidRPr="00730FD8">
                        <w:rPr>
                          <w:color w:val="FFFFFF" w:themeColor="background1"/>
                        </w:rPr>
                        <w:t>individual development plan</w:t>
                      </w:r>
                    </w:p>
                  </w:txbxContent>
                </v:textbox>
                <w10:wrap anchorx="margin"/>
              </v:shape>
            </w:pict>
          </mc:Fallback>
        </mc:AlternateContent>
      </w:r>
    </w:p>
    <w:p w14:paraId="17BFB8B8" w14:textId="1EAF5777" w:rsidR="006D6696" w:rsidRPr="006D6696" w:rsidRDefault="006D6696" w:rsidP="006D6696">
      <w:pPr>
        <w:spacing w:after="160" w:line="259" w:lineRule="auto"/>
        <w:rPr>
          <w:rFonts w:eastAsiaTheme="minorHAnsi"/>
          <w:szCs w:val="22"/>
        </w:rPr>
      </w:pPr>
    </w:p>
    <w:p w14:paraId="311E22BE" w14:textId="77777777" w:rsidR="006D6696" w:rsidRPr="006D6696" w:rsidRDefault="006D6696" w:rsidP="006D6696">
      <w:pPr>
        <w:spacing w:after="160" w:line="259" w:lineRule="auto"/>
        <w:rPr>
          <w:rFonts w:eastAsiaTheme="minorHAnsi"/>
          <w:szCs w:val="22"/>
        </w:rPr>
      </w:pPr>
      <w:r w:rsidRPr="006D6696">
        <w:rPr>
          <w:rFonts w:eastAsiaTheme="minorHAnsi"/>
          <w:noProof/>
          <w:szCs w:val="22"/>
        </w:rPr>
        <mc:AlternateContent>
          <mc:Choice Requires="wps">
            <w:drawing>
              <wp:anchor distT="0" distB="0" distL="114300" distR="114300" simplePos="0" relativeHeight="251673600" behindDoc="0" locked="0" layoutInCell="1" allowOverlap="1" wp14:anchorId="519E881D" wp14:editId="49D8B220">
                <wp:simplePos x="0" y="0"/>
                <wp:positionH relativeFrom="column">
                  <wp:posOffset>4601527</wp:posOffset>
                </wp:positionH>
                <wp:positionV relativeFrom="paragraph">
                  <wp:posOffset>124779</wp:posOffset>
                </wp:positionV>
                <wp:extent cx="2003425" cy="534670"/>
                <wp:effectExtent l="0" t="8572" r="26352" b="26353"/>
                <wp:wrapNone/>
                <wp:docPr id="6" name="Rectangle 6"/>
                <wp:cNvGraphicFramePr/>
                <a:graphic xmlns:a="http://schemas.openxmlformats.org/drawingml/2006/main">
                  <a:graphicData uri="http://schemas.microsoft.com/office/word/2010/wordprocessingShape">
                    <wps:wsp>
                      <wps:cNvSpPr/>
                      <wps:spPr>
                        <a:xfrm rot="5400000">
                          <a:off x="0" y="0"/>
                          <a:ext cx="2003425" cy="534670"/>
                        </a:xfrm>
                        <a:prstGeom prst="rect">
                          <a:avLst/>
                        </a:prstGeom>
                        <a:solidFill>
                          <a:srgbClr val="4472C4"/>
                        </a:solidFill>
                        <a:ln w="12700" cap="flat" cmpd="sng" algn="ctr">
                          <a:solidFill>
                            <a:srgbClr val="4472C4">
                              <a:shade val="50000"/>
                            </a:srgbClr>
                          </a:solidFill>
                          <a:prstDash val="solid"/>
                          <a:miter lim="800000"/>
                        </a:ln>
                        <a:effectLst/>
                      </wps:spPr>
                      <wps:txbx>
                        <w:txbxContent>
                          <w:p w14:paraId="3176A31A" w14:textId="77777777" w:rsidR="006D6696" w:rsidRPr="00730FD8" w:rsidRDefault="006D6696" w:rsidP="006D6696">
                            <w:pPr>
                              <w:jc w:val="center"/>
                              <w:rPr>
                                <w:color w:val="FFFFFF" w:themeColor="background1"/>
                              </w:rPr>
                            </w:pPr>
                            <w:r>
                              <w:rPr>
                                <w:color w:val="FFFFFF" w:themeColor="background1"/>
                              </w:rPr>
                              <w:t>Validation of NQSW progress and CPL activity</w:t>
                            </w:r>
                          </w:p>
                          <w:p w14:paraId="2F5BFC6E" w14:textId="77777777" w:rsidR="006D6696" w:rsidRDefault="006D6696" w:rsidP="006D669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9E881D" id="Rectangle 6" o:spid="_x0000_s1030" style="position:absolute;margin-left:362.3pt;margin-top:9.85pt;width:157.75pt;height:42.1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" fillcolor="#4472c4" strokecolor="#2f528f" strokeweight="1pt">
                <v:textbox>
                  <w:txbxContent>
                    <w:p w14:paraId="3176A31A" w14:textId="77777777" w:rsidR="006D6696" w:rsidRPr="00730FD8" w:rsidRDefault="006D6696" w:rsidP="006D6696">
                      <w:pPr>
                        <w:jc w:val="center"/>
                        <w:rPr>
                          <w:color w:val="FFFFFF" w:themeColor="background1"/>
                        </w:rPr>
                      </w:pPr>
                      <w:r>
                        <w:rPr>
                          <w:color w:val="FFFFFF" w:themeColor="background1"/>
                        </w:rPr>
                        <w:t>Validation of NQSW progress and CPL activity</w:t>
                      </w:r>
                    </w:p>
                    <w:p w14:paraId="2F5BFC6E" w14:textId="77777777" w:rsidR="006D6696" w:rsidRDefault="006D6696" w:rsidP="006D6696">
                      <w:pPr>
                        <w:jc w:val="center"/>
                      </w:pPr>
                    </w:p>
                  </w:txbxContent>
                </v:textbox>
              </v:rect>
            </w:pict>
          </mc:Fallback>
        </mc:AlternateContent>
      </w:r>
    </w:p>
    <w:p w14:paraId="6C2799D4" w14:textId="77777777" w:rsidR="006D6696" w:rsidRPr="006D6696" w:rsidRDefault="006D6696" w:rsidP="006D6696">
      <w:pPr>
        <w:spacing w:after="160" w:line="259" w:lineRule="auto"/>
        <w:rPr>
          <w:rFonts w:eastAsiaTheme="minorHAnsi"/>
          <w:szCs w:val="22"/>
        </w:rPr>
      </w:pPr>
      <w:r w:rsidRPr="006D6696">
        <w:rPr>
          <w:rFonts w:eastAsiaTheme="minorHAnsi"/>
          <w:noProof/>
          <w:szCs w:val="22"/>
        </w:rPr>
        <mc:AlternateContent>
          <mc:Choice Requires="wps">
            <w:drawing>
              <wp:anchor distT="0" distB="0" distL="114300" distR="114300" simplePos="0" relativeHeight="251669504" behindDoc="0" locked="0" layoutInCell="1" allowOverlap="1" wp14:anchorId="19365D8E" wp14:editId="55AFC197">
                <wp:simplePos x="0" y="0"/>
                <wp:positionH relativeFrom="column">
                  <wp:posOffset>904875</wp:posOffset>
                </wp:positionH>
                <wp:positionV relativeFrom="paragraph">
                  <wp:posOffset>5079</wp:posOffset>
                </wp:positionV>
                <wp:extent cx="3876675" cy="695325"/>
                <wp:effectExtent l="0" t="0" r="28575" b="47625"/>
                <wp:wrapNone/>
                <wp:docPr id="8" name="Callout: Down Arrow 8"/>
                <wp:cNvGraphicFramePr/>
                <a:graphic xmlns:a="http://schemas.openxmlformats.org/drawingml/2006/main">
                  <a:graphicData uri="http://schemas.microsoft.com/office/word/2010/wordprocessingShape">
                    <wps:wsp>
                      <wps:cNvSpPr/>
                      <wps:spPr>
                        <a:xfrm>
                          <a:off x="0" y="0"/>
                          <a:ext cx="3876675" cy="695325"/>
                        </a:xfrm>
                        <a:prstGeom prst="downArrowCallout">
                          <a:avLst/>
                        </a:prstGeom>
                        <a:solidFill>
                          <a:srgbClr val="4472C4"/>
                        </a:solidFill>
                        <a:ln w="12700" cap="flat" cmpd="sng" algn="ctr">
                          <a:solidFill>
                            <a:srgbClr val="4472C4">
                              <a:shade val="50000"/>
                            </a:srgbClr>
                          </a:solidFill>
                          <a:prstDash val="solid"/>
                          <a:miter lim="800000"/>
                        </a:ln>
                        <a:effectLst/>
                      </wps:spPr>
                      <wps:txbx>
                        <w:txbxContent>
                          <w:p w14:paraId="69E1BC39" w14:textId="77777777" w:rsidR="006D6696" w:rsidRPr="00C06986" w:rsidRDefault="006D6696" w:rsidP="006D6696">
                            <w:pPr>
                              <w:jc w:val="center"/>
                              <w:rPr>
                                <w:color w:val="FFFFFF" w:themeColor="background1"/>
                              </w:rPr>
                            </w:pPr>
                            <w:r w:rsidRPr="00C06986">
                              <w:rPr>
                                <w:color w:val="FFFFFF" w:themeColor="background1"/>
                              </w:rPr>
                              <w:t>End of year review of progress and individual development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65D8E" id="Callout: Down Arrow 8" o:spid="_x0000_s1031" type="#_x0000_t80" style="position:absolute;margin-left:71.25pt;margin-top:.4pt;width:305.25pt;height:5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" adj="14035,9831,16200,10316" fillcolor="#4472c4" strokecolor="#2f528f" strokeweight="1pt">
                <v:textbox>
                  <w:txbxContent>
                    <w:p w14:paraId="69E1BC39" w14:textId="77777777" w:rsidR="006D6696" w:rsidRPr="00C06986" w:rsidRDefault="006D6696" w:rsidP="006D6696">
                      <w:pPr>
                        <w:jc w:val="center"/>
                        <w:rPr>
                          <w:color w:val="FFFFFF" w:themeColor="background1"/>
                        </w:rPr>
                      </w:pPr>
                      <w:r w:rsidRPr="00C06986">
                        <w:rPr>
                          <w:color w:val="FFFFFF" w:themeColor="background1"/>
                        </w:rPr>
                        <w:t>End of year review of progress and individual development plan</w:t>
                      </w:r>
                    </w:p>
                  </w:txbxContent>
                </v:textbox>
              </v:shape>
            </w:pict>
          </mc:Fallback>
        </mc:AlternateContent>
      </w:r>
      <w:r w:rsidRPr="006D6696">
        <w:rPr>
          <w:rFonts w:eastAsiaTheme="minorHAnsi"/>
          <w:noProof/>
          <w:szCs w:val="22"/>
        </w:rPr>
        <mc:AlternateContent>
          <mc:Choice Requires="wps">
            <w:drawing>
              <wp:anchor distT="0" distB="0" distL="114300" distR="114300" simplePos="0" relativeHeight="251674624" behindDoc="0" locked="0" layoutInCell="1" allowOverlap="1" wp14:anchorId="52A28FC0" wp14:editId="4171A70B">
                <wp:simplePos x="0" y="0"/>
                <wp:positionH relativeFrom="column">
                  <wp:posOffset>4752340</wp:posOffset>
                </wp:positionH>
                <wp:positionV relativeFrom="paragraph">
                  <wp:posOffset>29845</wp:posOffset>
                </wp:positionV>
                <wp:extent cx="473075" cy="484632"/>
                <wp:effectExtent l="0" t="19050" r="41275" b="29845"/>
                <wp:wrapNone/>
                <wp:docPr id="10" name="Arrow: Right 10"/>
                <wp:cNvGraphicFramePr/>
                <a:graphic xmlns:a="http://schemas.openxmlformats.org/drawingml/2006/main">
                  <a:graphicData uri="http://schemas.microsoft.com/office/word/2010/wordprocessingShape">
                    <wps:wsp>
                      <wps:cNvSpPr/>
                      <wps:spPr>
                        <a:xfrm>
                          <a:off x="0" y="0"/>
                          <a:ext cx="473075" cy="484632"/>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55743E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0" o:spid="_x0000_s1026" type="#_x0000_t13" style="position:absolute;margin-left:374.2pt;margin-top:2.35pt;width:37.25pt;height:38.1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" adj="10800" fillcolor="#4472c4" strokecolor="#2f528f" strokeweight="1pt"/>
            </w:pict>
          </mc:Fallback>
        </mc:AlternateContent>
      </w:r>
    </w:p>
    <w:p w14:paraId="46454CCE" w14:textId="77777777" w:rsidR="006D6696" w:rsidRPr="006D6696" w:rsidRDefault="006D6696" w:rsidP="006D6696">
      <w:pPr>
        <w:spacing w:after="160" w:line="259" w:lineRule="auto"/>
        <w:rPr>
          <w:rFonts w:eastAsiaTheme="minorHAnsi"/>
          <w:szCs w:val="22"/>
        </w:rPr>
      </w:pPr>
    </w:p>
    <w:p w14:paraId="6BA05F2A" w14:textId="77777777" w:rsidR="006D6696" w:rsidRPr="006D6696" w:rsidRDefault="006D6696" w:rsidP="006D6696">
      <w:pPr>
        <w:spacing w:after="160" w:line="259" w:lineRule="auto"/>
        <w:rPr>
          <w:rFonts w:eastAsiaTheme="minorHAnsi"/>
          <w:szCs w:val="22"/>
        </w:rPr>
      </w:pPr>
      <w:r w:rsidRPr="006D6696">
        <w:rPr>
          <w:rFonts w:eastAsiaTheme="minorHAnsi"/>
          <w:noProof/>
          <w:szCs w:val="22"/>
        </w:rPr>
        <mc:AlternateContent>
          <mc:Choice Requires="wps">
            <w:drawing>
              <wp:anchor distT="0" distB="0" distL="114300" distR="114300" simplePos="0" relativeHeight="251670528" behindDoc="0" locked="0" layoutInCell="1" allowOverlap="1" wp14:anchorId="40223939" wp14:editId="7BFA0C95">
                <wp:simplePos x="0" y="0"/>
                <wp:positionH relativeFrom="column">
                  <wp:posOffset>866775</wp:posOffset>
                </wp:positionH>
                <wp:positionV relativeFrom="paragraph">
                  <wp:posOffset>182880</wp:posOffset>
                </wp:positionV>
                <wp:extent cx="3857625" cy="523875"/>
                <wp:effectExtent l="0" t="0" r="28575" b="47625"/>
                <wp:wrapNone/>
                <wp:docPr id="17" name="Callout: Down Arrow 17"/>
                <wp:cNvGraphicFramePr/>
                <a:graphic xmlns:a="http://schemas.openxmlformats.org/drawingml/2006/main">
                  <a:graphicData uri="http://schemas.microsoft.com/office/word/2010/wordprocessingShape">
                    <wps:wsp>
                      <wps:cNvSpPr/>
                      <wps:spPr>
                        <a:xfrm>
                          <a:off x="0" y="0"/>
                          <a:ext cx="3857625" cy="523875"/>
                        </a:xfrm>
                        <a:prstGeom prst="downArrowCallout">
                          <a:avLst/>
                        </a:prstGeom>
                        <a:solidFill>
                          <a:srgbClr val="4472C4"/>
                        </a:solidFill>
                        <a:ln w="12700" cap="flat" cmpd="sng" algn="ctr">
                          <a:solidFill>
                            <a:srgbClr val="4472C4">
                              <a:shade val="50000"/>
                            </a:srgbClr>
                          </a:solidFill>
                          <a:prstDash val="solid"/>
                          <a:miter lim="800000"/>
                        </a:ln>
                        <a:effectLst/>
                      </wps:spPr>
                      <wps:txbx>
                        <w:txbxContent>
                          <w:p w14:paraId="2FA79B6D" w14:textId="77777777" w:rsidR="006D6696" w:rsidRPr="00481DA8" w:rsidRDefault="006D6696" w:rsidP="006D6696">
                            <w:pPr>
                              <w:jc w:val="center"/>
                              <w:rPr>
                                <w:color w:val="FFFFFF" w:themeColor="background1"/>
                              </w:rPr>
                            </w:pPr>
                            <w:r w:rsidRPr="00481DA8">
                              <w:rPr>
                                <w:color w:val="FFFFFF" w:themeColor="background1"/>
                              </w:rPr>
                              <w:t>Annual appraisal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23939" id="Callout: Down Arrow 17" o:spid="_x0000_s1032" type="#_x0000_t80" style="position:absolute;margin-left:68.25pt;margin-top:14.4pt;width:303.75pt;height:4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" adj="14035,10067,16200,10433" fillcolor="#4472c4" strokecolor="#2f528f" strokeweight="1pt">
                <v:textbox>
                  <w:txbxContent>
                    <w:p w14:paraId="2FA79B6D" w14:textId="77777777" w:rsidR="006D6696" w:rsidRPr="00481DA8" w:rsidRDefault="006D6696" w:rsidP="006D6696">
                      <w:pPr>
                        <w:jc w:val="center"/>
                        <w:rPr>
                          <w:color w:val="FFFFFF" w:themeColor="background1"/>
                        </w:rPr>
                      </w:pPr>
                      <w:r w:rsidRPr="00481DA8">
                        <w:rPr>
                          <w:color w:val="FFFFFF" w:themeColor="background1"/>
                        </w:rPr>
                        <w:t>Annual appraisal</w:t>
                      </w:r>
                    </w:p>
                  </w:txbxContent>
                </v:textbox>
              </v:shape>
            </w:pict>
          </mc:Fallback>
        </mc:AlternateContent>
      </w:r>
    </w:p>
    <w:p w14:paraId="026FB06B" w14:textId="77777777" w:rsidR="006D6696" w:rsidRPr="006D6696" w:rsidRDefault="006D6696" w:rsidP="006D6696">
      <w:pPr>
        <w:spacing w:after="160" w:line="259" w:lineRule="auto"/>
        <w:rPr>
          <w:rFonts w:eastAsiaTheme="minorHAnsi"/>
          <w:szCs w:val="22"/>
        </w:rPr>
      </w:pPr>
    </w:p>
    <w:p w14:paraId="11CFAA8D" w14:textId="77777777" w:rsidR="006D6696" w:rsidRPr="006D6696" w:rsidRDefault="006D6696" w:rsidP="006D6696">
      <w:pPr>
        <w:spacing w:after="160" w:line="259" w:lineRule="auto"/>
        <w:rPr>
          <w:rFonts w:eastAsiaTheme="minorHAnsi"/>
          <w:szCs w:val="22"/>
        </w:rPr>
      </w:pPr>
    </w:p>
    <w:p w14:paraId="66CEA71C" w14:textId="77777777" w:rsidR="006D6696" w:rsidRPr="006D6696" w:rsidRDefault="006D6696" w:rsidP="006D6696">
      <w:pPr>
        <w:spacing w:after="160" w:line="259" w:lineRule="auto"/>
        <w:rPr>
          <w:rFonts w:eastAsiaTheme="minorHAnsi"/>
          <w:szCs w:val="22"/>
        </w:rPr>
      </w:pPr>
    </w:p>
    <w:p w14:paraId="0A7D1D3E" w14:textId="653024EE" w:rsidR="0007554D" w:rsidRPr="00F378D5" w:rsidRDefault="0054512A" w:rsidP="0054512A">
      <w:pPr>
        <w:textAlignment w:val="baseline"/>
        <w:rPr>
          <w:rFonts w:eastAsia="Times New Roman" w:cs="Segoe UI"/>
          <w:szCs w:val="22"/>
          <w:lang w:eastAsia="en-GB"/>
        </w:rPr>
      </w:pPr>
      <w:r w:rsidRPr="0054512A">
        <w:rPr>
          <w:rFonts w:eastAsia="Times New Roman" w:cs="Segoe UI"/>
          <w:szCs w:val="22"/>
          <w:lang w:eastAsia="en-GB"/>
        </w:rPr>
        <w:t xml:space="preserve">The initial professional discussion will consider the transferable skills, experiences and learning needs identified during the NQSW transition </w:t>
      </w:r>
      <w:r w:rsidR="0043594A" w:rsidRPr="00F378D5">
        <w:rPr>
          <w:rFonts w:eastAsia="Times New Roman" w:cs="Segoe UI"/>
          <w:szCs w:val="22"/>
          <w:lang w:eastAsia="en-GB"/>
        </w:rPr>
        <w:t xml:space="preserve">from qualifying training </w:t>
      </w:r>
      <w:r w:rsidRPr="0054512A">
        <w:rPr>
          <w:rFonts w:eastAsia="Times New Roman" w:cs="Segoe UI"/>
          <w:szCs w:val="22"/>
          <w:lang w:eastAsia="en-GB"/>
        </w:rPr>
        <w:t xml:space="preserve">to employment.  This is critical to individual development planning given the disruptions to and variations in learning experiences due to COVID-19.  Course providers are currently working on developing and embedding an agreed transitions approach to improve consistency in the development and use of these plans. </w:t>
      </w:r>
    </w:p>
    <w:p w14:paraId="255098F1" w14:textId="1894408D" w:rsidR="0054512A" w:rsidRPr="0054512A" w:rsidRDefault="0054512A" w:rsidP="0054512A">
      <w:pPr>
        <w:textAlignment w:val="baseline"/>
        <w:rPr>
          <w:rFonts w:eastAsia="Times New Roman" w:cs="Segoe UI"/>
          <w:szCs w:val="22"/>
          <w:lang w:eastAsia="en-GB"/>
        </w:rPr>
      </w:pPr>
      <w:r w:rsidRPr="0054512A">
        <w:rPr>
          <w:rFonts w:eastAsia="Times New Roman" w:cs="Segoe UI"/>
          <w:szCs w:val="22"/>
          <w:lang w:eastAsia="en-GB"/>
        </w:rPr>
        <w:t xml:space="preserve">  </w:t>
      </w:r>
    </w:p>
    <w:p w14:paraId="18FDCCC2" w14:textId="77777777" w:rsidR="00BD353C" w:rsidRPr="00AD2810" w:rsidRDefault="00BD353C" w:rsidP="00BD353C">
      <w:pPr>
        <w:spacing w:after="160" w:line="259" w:lineRule="auto"/>
        <w:rPr>
          <w:rFonts w:eastAsiaTheme="minorHAnsi"/>
          <w:szCs w:val="22"/>
        </w:rPr>
      </w:pPr>
      <w:r>
        <w:rPr>
          <w:rFonts w:eastAsiaTheme="minorHAnsi"/>
          <w:szCs w:val="22"/>
        </w:rPr>
        <w:t>T</w:t>
      </w:r>
      <w:r w:rsidRPr="00D96658">
        <w:rPr>
          <w:rFonts w:eastAsiaTheme="minorHAnsi"/>
          <w:szCs w:val="22"/>
        </w:rPr>
        <w:t xml:space="preserve">he NQSWs’ development will be looked at holistically and appropriate learning opportunities identified and agreed with their supervisor. These may support evidence of advancement against several Standards at the same time or focus on a specific Standard.  </w:t>
      </w:r>
    </w:p>
    <w:p w14:paraId="462959F3" w14:textId="4042B8EB" w:rsidR="003137DF" w:rsidRDefault="0054512A" w:rsidP="0054512A">
      <w:pPr>
        <w:textAlignment w:val="baseline"/>
        <w:rPr>
          <w:rFonts w:eastAsia="Times New Roman" w:cs="Segoe UI"/>
          <w:szCs w:val="22"/>
          <w:lang w:eastAsia="en-GB"/>
        </w:rPr>
      </w:pPr>
      <w:r w:rsidRPr="0054512A">
        <w:rPr>
          <w:rFonts w:eastAsia="Times New Roman" w:cs="Segoe UI"/>
          <w:szCs w:val="22"/>
          <w:lang w:eastAsia="en-GB"/>
        </w:rPr>
        <w:t xml:space="preserve">NQSWs will be given time and opportunity to engage with, reflect on and evidence their learning from a range of formal, informal, and naturally occurring learning and development opportunities that arise within their professional role or are created to meet a specific need. </w:t>
      </w:r>
      <w:r w:rsidR="00313DE0">
        <w:rPr>
          <w:rFonts w:eastAsia="Times New Roman" w:cs="Segoe UI"/>
          <w:szCs w:val="22"/>
          <w:lang w:eastAsia="en-GB"/>
        </w:rPr>
        <w:t>NQSWs are</w:t>
      </w:r>
      <w:r w:rsidR="00584110">
        <w:rPr>
          <w:rFonts w:eastAsia="Times New Roman" w:cs="Segoe UI"/>
          <w:szCs w:val="22"/>
          <w:lang w:eastAsia="en-GB"/>
        </w:rPr>
        <w:t xml:space="preserve"> expected to </w:t>
      </w:r>
      <w:r w:rsidR="006125D5">
        <w:rPr>
          <w:rFonts w:eastAsia="Times New Roman" w:cs="Segoe UI"/>
          <w:szCs w:val="22"/>
          <w:lang w:eastAsia="en-GB"/>
        </w:rPr>
        <w:t xml:space="preserve">retain and share </w:t>
      </w:r>
      <w:r w:rsidR="00584110">
        <w:rPr>
          <w:rFonts w:eastAsia="Times New Roman" w:cs="Segoe UI"/>
          <w:szCs w:val="22"/>
          <w:lang w:eastAsia="en-GB"/>
        </w:rPr>
        <w:t xml:space="preserve">evidence of their learning </w:t>
      </w:r>
      <w:r w:rsidR="00945425">
        <w:rPr>
          <w:rFonts w:eastAsia="Times New Roman" w:cs="Segoe UI"/>
          <w:szCs w:val="22"/>
          <w:lang w:eastAsia="en-GB"/>
        </w:rPr>
        <w:t xml:space="preserve">and development </w:t>
      </w:r>
      <w:r w:rsidR="00584110">
        <w:rPr>
          <w:rFonts w:eastAsia="Times New Roman" w:cs="Segoe UI"/>
          <w:szCs w:val="22"/>
          <w:lang w:eastAsia="en-GB"/>
        </w:rPr>
        <w:t>throughout the NQSW Supported Year</w:t>
      </w:r>
      <w:r w:rsidR="00945425">
        <w:rPr>
          <w:rFonts w:eastAsia="Times New Roman" w:cs="Segoe UI"/>
          <w:szCs w:val="22"/>
          <w:lang w:eastAsia="en-GB"/>
        </w:rPr>
        <w:t>, including multi-source feedback</w:t>
      </w:r>
      <w:r w:rsidR="007776BD">
        <w:rPr>
          <w:rFonts w:eastAsia="Times New Roman" w:cs="Segoe UI"/>
          <w:szCs w:val="22"/>
          <w:lang w:eastAsia="en-GB"/>
        </w:rPr>
        <w:t>. Figure 2 provides an outline of how NQSWs</w:t>
      </w:r>
      <w:r w:rsidR="003137DF">
        <w:rPr>
          <w:rFonts w:eastAsia="Times New Roman" w:cs="Segoe UI"/>
          <w:szCs w:val="22"/>
          <w:lang w:eastAsia="en-GB"/>
        </w:rPr>
        <w:t xml:space="preserve"> will evidence progress during NQSW Supported Year.  </w:t>
      </w:r>
    </w:p>
    <w:p w14:paraId="572EFAB7" w14:textId="40551A58" w:rsidR="003137DF" w:rsidRDefault="003137DF" w:rsidP="0054512A">
      <w:pPr>
        <w:textAlignment w:val="baseline"/>
        <w:rPr>
          <w:rFonts w:eastAsia="Times New Roman" w:cs="Segoe UI"/>
          <w:szCs w:val="22"/>
          <w:lang w:eastAsia="en-GB"/>
        </w:rPr>
      </w:pPr>
    </w:p>
    <w:p w14:paraId="1BE06FF9" w14:textId="0C345A4F" w:rsidR="003137DF" w:rsidRDefault="003137DF" w:rsidP="0054512A">
      <w:pPr>
        <w:textAlignment w:val="baseline"/>
        <w:rPr>
          <w:rFonts w:eastAsia="Times New Roman" w:cs="Segoe UI"/>
          <w:szCs w:val="22"/>
          <w:lang w:eastAsia="en-GB"/>
        </w:rPr>
      </w:pPr>
    </w:p>
    <w:p w14:paraId="4F793AAD" w14:textId="78CCDE9A" w:rsidR="003137DF" w:rsidRDefault="003137DF" w:rsidP="0054512A">
      <w:pPr>
        <w:textAlignment w:val="baseline"/>
        <w:rPr>
          <w:rFonts w:eastAsia="Times New Roman" w:cs="Segoe UI"/>
          <w:szCs w:val="22"/>
          <w:lang w:eastAsia="en-GB"/>
        </w:rPr>
      </w:pPr>
    </w:p>
    <w:p w14:paraId="6684BF64" w14:textId="0DAF4C81" w:rsidR="003137DF" w:rsidRDefault="003137DF" w:rsidP="0054512A">
      <w:pPr>
        <w:textAlignment w:val="baseline"/>
        <w:rPr>
          <w:rFonts w:eastAsia="Times New Roman" w:cs="Segoe UI"/>
          <w:szCs w:val="22"/>
          <w:lang w:eastAsia="en-GB"/>
        </w:rPr>
      </w:pPr>
    </w:p>
    <w:p w14:paraId="191696EE" w14:textId="12A8E66E" w:rsidR="003137DF" w:rsidRDefault="003137DF" w:rsidP="0054512A">
      <w:pPr>
        <w:textAlignment w:val="baseline"/>
        <w:rPr>
          <w:rFonts w:eastAsia="Times New Roman" w:cs="Segoe UI"/>
          <w:szCs w:val="22"/>
          <w:lang w:eastAsia="en-GB"/>
        </w:rPr>
      </w:pPr>
    </w:p>
    <w:p w14:paraId="749CC5C0" w14:textId="77777777" w:rsidR="003137DF" w:rsidRDefault="003137DF" w:rsidP="0054512A">
      <w:pPr>
        <w:textAlignment w:val="baseline"/>
        <w:rPr>
          <w:rFonts w:eastAsia="Times New Roman" w:cs="Segoe UI"/>
          <w:szCs w:val="22"/>
          <w:lang w:eastAsia="en-GB"/>
        </w:rPr>
      </w:pPr>
    </w:p>
    <w:p w14:paraId="4D7AA541" w14:textId="77777777" w:rsidR="003137DF" w:rsidRDefault="003137DF" w:rsidP="0054512A">
      <w:pPr>
        <w:textAlignment w:val="baseline"/>
        <w:rPr>
          <w:rFonts w:eastAsia="Times New Roman" w:cs="Segoe UI"/>
          <w:szCs w:val="22"/>
          <w:lang w:eastAsia="en-GB"/>
        </w:rPr>
      </w:pPr>
    </w:p>
    <w:p w14:paraId="4764DC69" w14:textId="1F8FC732" w:rsidR="003137DF" w:rsidRPr="00CF223A" w:rsidRDefault="003137DF" w:rsidP="003137DF">
      <w:pPr>
        <w:textAlignment w:val="baseline"/>
        <w:rPr>
          <w:rFonts w:eastAsia="Times New Roman" w:cs="Segoe UI"/>
          <w:szCs w:val="22"/>
          <w:lang w:eastAsia="en-GB"/>
        </w:rPr>
      </w:pPr>
      <w:r w:rsidRPr="00CF223A">
        <w:rPr>
          <w:rFonts w:eastAsia="Times New Roman" w:cs="Segoe UI"/>
          <w:szCs w:val="22"/>
          <w:lang w:eastAsia="en-GB"/>
        </w:rPr>
        <w:lastRenderedPageBreak/>
        <w:t>Fig</w:t>
      </w:r>
      <w:r>
        <w:rPr>
          <w:rFonts w:eastAsia="Times New Roman" w:cs="Segoe UI"/>
          <w:szCs w:val="22"/>
          <w:lang w:eastAsia="en-GB"/>
        </w:rPr>
        <w:t>ure</w:t>
      </w:r>
      <w:r w:rsidR="00997432">
        <w:rPr>
          <w:rFonts w:eastAsia="Times New Roman" w:cs="Segoe UI"/>
          <w:szCs w:val="22"/>
          <w:lang w:eastAsia="en-GB"/>
        </w:rPr>
        <w:t xml:space="preserve"> </w:t>
      </w:r>
      <w:r>
        <w:rPr>
          <w:rFonts w:eastAsia="Times New Roman" w:cs="Segoe UI"/>
          <w:szCs w:val="22"/>
          <w:lang w:eastAsia="en-GB"/>
        </w:rPr>
        <w:t>2</w:t>
      </w:r>
      <w:r w:rsidRPr="00CF223A">
        <w:rPr>
          <w:rFonts w:eastAsia="Times New Roman" w:cs="Segoe UI"/>
          <w:szCs w:val="22"/>
          <w:lang w:eastAsia="en-GB"/>
        </w:rPr>
        <w:t xml:space="preserve"> </w:t>
      </w:r>
      <w:r>
        <w:rPr>
          <w:rFonts w:eastAsia="Times New Roman" w:cs="Segoe UI"/>
          <w:szCs w:val="22"/>
          <w:lang w:eastAsia="en-GB"/>
        </w:rPr>
        <w:t xml:space="preserve">Evidencing progress during the </w:t>
      </w:r>
      <w:r w:rsidRPr="00CF223A">
        <w:rPr>
          <w:rFonts w:eastAsia="Times New Roman" w:cs="Segoe UI"/>
          <w:szCs w:val="22"/>
          <w:lang w:eastAsia="en-GB"/>
        </w:rPr>
        <w:t>NQSW Supported Year</w:t>
      </w:r>
    </w:p>
    <w:p w14:paraId="508701EF" w14:textId="0368874F" w:rsidR="007776BD" w:rsidRDefault="007776BD" w:rsidP="0054512A">
      <w:pPr>
        <w:textAlignment w:val="baseline"/>
        <w:rPr>
          <w:rFonts w:eastAsia="Times New Roman" w:cs="Segoe UI"/>
          <w:szCs w:val="22"/>
          <w:lang w:eastAsia="en-GB"/>
        </w:rPr>
      </w:pPr>
    </w:p>
    <w:p w14:paraId="5A766ECC" w14:textId="50B13B5F" w:rsidR="007776BD" w:rsidRDefault="00622592" w:rsidP="0054512A">
      <w:pPr>
        <w:textAlignment w:val="baseline"/>
        <w:rPr>
          <w:rFonts w:eastAsia="Times New Roman" w:cs="Segoe UI"/>
          <w:szCs w:val="22"/>
          <w:lang w:eastAsia="en-GB"/>
        </w:rPr>
      </w:pPr>
      <w:r>
        <w:rPr>
          <w:noProof/>
        </w:rPr>
        <w:drawing>
          <wp:inline distT="0" distB="0" distL="0" distR="0" wp14:anchorId="3A3F95FC" wp14:editId="2D9CE2B4">
            <wp:extent cx="5731510" cy="5743575"/>
            <wp:effectExtent l="0" t="0" r="0" b="0"/>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77C8ADE1" w14:textId="77777777" w:rsidR="007776BD" w:rsidRPr="00F378D5" w:rsidRDefault="007776BD" w:rsidP="0054512A">
      <w:pPr>
        <w:textAlignment w:val="baseline"/>
        <w:rPr>
          <w:rFonts w:eastAsia="Times New Roman" w:cs="Segoe UI"/>
          <w:szCs w:val="22"/>
          <w:lang w:eastAsia="en-GB"/>
        </w:rPr>
      </w:pPr>
    </w:p>
    <w:p w14:paraId="78AAC96D" w14:textId="77777777" w:rsidR="0007554D" w:rsidRPr="0054512A" w:rsidRDefault="0007554D" w:rsidP="0054512A">
      <w:pPr>
        <w:textAlignment w:val="baseline"/>
        <w:rPr>
          <w:rFonts w:eastAsia="Times New Roman" w:cs="Segoe UI"/>
          <w:szCs w:val="22"/>
          <w:lang w:eastAsia="en-GB"/>
        </w:rPr>
      </w:pPr>
    </w:p>
    <w:p w14:paraId="73F80D8B" w14:textId="07675368" w:rsidR="0054512A" w:rsidRPr="00F378D5" w:rsidRDefault="0054512A" w:rsidP="0054512A">
      <w:pPr>
        <w:textAlignment w:val="baseline"/>
        <w:rPr>
          <w:rFonts w:eastAsia="Times New Roman" w:cs="Segoe UI"/>
          <w:szCs w:val="22"/>
          <w:lang w:eastAsia="en-GB"/>
        </w:rPr>
      </w:pPr>
      <w:r w:rsidRPr="0054512A">
        <w:rPr>
          <w:rFonts w:eastAsia="Times New Roman" w:cs="Segoe UI"/>
          <w:szCs w:val="22"/>
          <w:lang w:eastAsia="en-GB"/>
        </w:rPr>
        <w:t xml:space="preserve">By the end of the NQSW </w:t>
      </w:r>
      <w:r w:rsidR="00584110">
        <w:rPr>
          <w:rFonts w:eastAsia="Times New Roman" w:cs="Segoe UI"/>
          <w:szCs w:val="22"/>
          <w:lang w:eastAsia="en-GB"/>
        </w:rPr>
        <w:t>Supported Year</w:t>
      </w:r>
      <w:r w:rsidRPr="0054512A">
        <w:rPr>
          <w:rFonts w:eastAsia="Times New Roman" w:cs="Segoe UI"/>
          <w:szCs w:val="22"/>
          <w:lang w:eastAsia="en-GB"/>
        </w:rPr>
        <w:t xml:space="preserve">, the NQSW will be able to confidently articulate their progress against the Standards through a structured professional discussion with their supervisor.  </w:t>
      </w:r>
    </w:p>
    <w:p w14:paraId="7267A5E4" w14:textId="77777777" w:rsidR="0007554D" w:rsidRPr="0054512A" w:rsidRDefault="0007554D" w:rsidP="0054512A">
      <w:pPr>
        <w:textAlignment w:val="baseline"/>
        <w:rPr>
          <w:rFonts w:eastAsia="Times New Roman" w:cs="Segoe UI"/>
          <w:szCs w:val="22"/>
          <w:lang w:eastAsia="en-GB"/>
        </w:rPr>
      </w:pPr>
    </w:p>
    <w:p w14:paraId="0E2C7700" w14:textId="16C8C4FA" w:rsidR="0054512A" w:rsidRPr="00AB18EC" w:rsidRDefault="0054512A" w:rsidP="00AB18EC">
      <w:pPr>
        <w:spacing w:after="160" w:line="259" w:lineRule="auto"/>
        <w:rPr>
          <w:rFonts w:eastAsiaTheme="minorHAnsi"/>
          <w:szCs w:val="22"/>
        </w:rPr>
      </w:pPr>
      <w:r w:rsidRPr="0054512A">
        <w:rPr>
          <w:rFonts w:eastAsia="Times New Roman" w:cs="Segoe UI"/>
          <w:szCs w:val="22"/>
          <w:lang w:eastAsia="en-GB"/>
        </w:rPr>
        <w:t>Quality assurance arrangements at a local and national level will ensure that there is a shared understanding and consistent application of the approach.</w:t>
      </w:r>
      <w:r w:rsidR="00AB18EC">
        <w:rPr>
          <w:rFonts w:eastAsiaTheme="minorHAnsi"/>
          <w:szCs w:val="22"/>
        </w:rPr>
        <w:t xml:space="preserve"> </w:t>
      </w:r>
      <w:r w:rsidRPr="0054512A">
        <w:rPr>
          <w:rFonts w:eastAsia="Times New Roman" w:cs="Segoe UI"/>
          <w:szCs w:val="22"/>
          <w:lang w:eastAsia="en-GB"/>
        </w:rPr>
        <w:t xml:space="preserve">Quality assurance measures will include </w:t>
      </w:r>
      <w:r w:rsidR="00DF75F5">
        <w:rPr>
          <w:rFonts w:eastAsiaTheme="minorHAnsi"/>
          <w:szCs w:val="22"/>
        </w:rPr>
        <w:t>the use of</w:t>
      </w:r>
      <w:r w:rsidR="00786134">
        <w:rPr>
          <w:rFonts w:eastAsiaTheme="minorHAnsi"/>
          <w:szCs w:val="22"/>
        </w:rPr>
        <w:t xml:space="preserve"> </w:t>
      </w:r>
      <w:r w:rsidRPr="0054512A">
        <w:rPr>
          <w:rFonts w:eastAsia="Times New Roman" w:cs="Segoe UI"/>
          <w:szCs w:val="22"/>
          <w:lang w:eastAsia="en-GB"/>
        </w:rPr>
        <w:t xml:space="preserve">benchmarking and sampling of the required CPL </w:t>
      </w:r>
      <w:r w:rsidR="00F97911">
        <w:rPr>
          <w:rFonts w:eastAsia="Times New Roman" w:cs="Segoe UI"/>
          <w:szCs w:val="22"/>
          <w:lang w:eastAsia="en-GB"/>
        </w:rPr>
        <w:t>evidence</w:t>
      </w:r>
      <w:r w:rsidRPr="0054512A">
        <w:rPr>
          <w:rFonts w:eastAsia="Times New Roman" w:cs="Segoe UI"/>
          <w:szCs w:val="22"/>
          <w:lang w:eastAsia="en-GB"/>
        </w:rPr>
        <w:t>, validation by a counter-signatory at a local level, submission of specified documentation by the NQSW to the SSSC in line with regulatory requirements</w:t>
      </w:r>
      <w:r w:rsidR="00421445" w:rsidRPr="00421445">
        <w:rPr>
          <w:rFonts w:eastAsia="Times New Roman" w:cs="Segoe UI"/>
          <w:szCs w:val="22"/>
          <w:lang w:eastAsia="en-GB"/>
        </w:rPr>
        <w:t xml:space="preserve"> </w:t>
      </w:r>
      <w:r w:rsidR="00421445" w:rsidRPr="0054512A">
        <w:rPr>
          <w:rFonts w:eastAsia="Times New Roman" w:cs="Segoe UI"/>
          <w:szCs w:val="22"/>
          <w:lang w:eastAsia="en-GB"/>
        </w:rPr>
        <w:t xml:space="preserve">and sampling of the required CPL </w:t>
      </w:r>
      <w:r w:rsidR="00F97911">
        <w:rPr>
          <w:rFonts w:eastAsia="Times New Roman" w:cs="Segoe UI"/>
          <w:szCs w:val="22"/>
          <w:lang w:eastAsia="en-GB"/>
        </w:rPr>
        <w:t>evidence</w:t>
      </w:r>
      <w:r w:rsidRPr="0054512A">
        <w:rPr>
          <w:rFonts w:eastAsia="Times New Roman" w:cs="Segoe UI"/>
          <w:szCs w:val="22"/>
          <w:lang w:eastAsia="en-GB"/>
        </w:rPr>
        <w:t>.</w:t>
      </w:r>
    </w:p>
    <w:p w14:paraId="17F5C864" w14:textId="77777777" w:rsidR="0007554D" w:rsidRPr="0054512A" w:rsidRDefault="0007554D" w:rsidP="0054512A">
      <w:pPr>
        <w:textAlignment w:val="baseline"/>
        <w:rPr>
          <w:rFonts w:eastAsia="Times New Roman" w:cs="Segoe UI"/>
          <w:szCs w:val="22"/>
          <w:lang w:eastAsia="en-GB"/>
        </w:rPr>
      </w:pPr>
    </w:p>
    <w:p w14:paraId="38586944" w14:textId="31DCC55E" w:rsidR="001606EA" w:rsidRPr="00076756" w:rsidRDefault="004F5DC7" w:rsidP="001606EA">
      <w:pPr>
        <w:pStyle w:val="Heading1"/>
        <w:rPr>
          <w:rFonts w:ascii="Verdana" w:hAnsi="Verdana"/>
          <w:b/>
          <w:bCs/>
          <w:color w:val="00498F"/>
          <w:sz w:val="28"/>
          <w:szCs w:val="28"/>
        </w:rPr>
      </w:pPr>
      <w:bookmarkStart w:id="2" w:name="_Toc72516745"/>
      <w:r>
        <w:rPr>
          <w:rFonts w:ascii="Verdana" w:hAnsi="Verdana"/>
          <w:b/>
          <w:bCs/>
          <w:color w:val="00498F"/>
          <w:sz w:val="28"/>
          <w:szCs w:val="28"/>
        </w:rPr>
        <w:lastRenderedPageBreak/>
        <w:t xml:space="preserve">Core elements to be provided by employers of </w:t>
      </w:r>
      <w:proofErr w:type="gramStart"/>
      <w:r>
        <w:rPr>
          <w:rFonts w:ascii="Verdana" w:hAnsi="Verdana"/>
          <w:b/>
          <w:bCs/>
          <w:color w:val="00498F"/>
          <w:sz w:val="28"/>
          <w:szCs w:val="28"/>
        </w:rPr>
        <w:t>NQSW</w:t>
      </w:r>
      <w:bookmarkEnd w:id="2"/>
      <w:proofErr w:type="gramEnd"/>
    </w:p>
    <w:p w14:paraId="32F5EAA9" w14:textId="77777777" w:rsidR="0054512A" w:rsidRPr="0054512A" w:rsidRDefault="0054512A" w:rsidP="0054512A">
      <w:pPr>
        <w:textAlignment w:val="baseline"/>
        <w:rPr>
          <w:rFonts w:eastAsia="Times New Roman" w:cs="Segoe UI"/>
          <w:color w:val="FF0000"/>
          <w:szCs w:val="22"/>
          <w:lang w:eastAsia="en-GB"/>
        </w:rPr>
      </w:pPr>
    </w:p>
    <w:p w14:paraId="42491956" w14:textId="225C96A6" w:rsidR="009C3C18" w:rsidRPr="004020CD" w:rsidRDefault="009C3C18" w:rsidP="009C3C18">
      <w:pPr>
        <w:textAlignment w:val="baseline"/>
        <w:rPr>
          <w:rFonts w:eastAsia="Times New Roman" w:cs="Segoe UI"/>
          <w:szCs w:val="22"/>
          <w:lang w:eastAsia="en-GB"/>
        </w:rPr>
      </w:pPr>
      <w:r w:rsidRPr="004020CD">
        <w:rPr>
          <w:rFonts w:eastAsia="Times New Roman" w:cs="Segoe UI"/>
          <w:szCs w:val="22"/>
          <w:lang w:eastAsia="en-GB"/>
        </w:rPr>
        <w:t xml:space="preserve">The NQSW supported year outlines the minimum support and learning opportunities required to ensure that NQSWs can evidence consolidation and development of their social work professional practice in line with their responsibilities as an employee and as a registered social worker. </w:t>
      </w:r>
    </w:p>
    <w:p w14:paraId="550C29D5" w14:textId="77777777" w:rsidR="004020CD" w:rsidRPr="004020CD" w:rsidRDefault="004020CD" w:rsidP="009C3C18">
      <w:pPr>
        <w:textAlignment w:val="baseline"/>
        <w:rPr>
          <w:rFonts w:eastAsia="Times New Roman" w:cs="Segoe UI"/>
          <w:szCs w:val="22"/>
          <w:lang w:eastAsia="en-GB"/>
        </w:rPr>
      </w:pPr>
    </w:p>
    <w:p w14:paraId="06248ECE" w14:textId="66F4398A" w:rsidR="00915144" w:rsidRPr="004020CD" w:rsidRDefault="009C3C18" w:rsidP="009C3C18">
      <w:pPr>
        <w:textAlignment w:val="baseline"/>
        <w:rPr>
          <w:rFonts w:eastAsia="Times New Roman" w:cs="Segoe UI"/>
          <w:szCs w:val="22"/>
          <w:lang w:eastAsia="en-GB"/>
        </w:rPr>
      </w:pPr>
      <w:r w:rsidRPr="004020CD">
        <w:rPr>
          <w:rFonts w:eastAsia="Times New Roman" w:cs="Segoe UI"/>
          <w:szCs w:val="22"/>
          <w:lang w:eastAsia="en-GB"/>
        </w:rPr>
        <w:t>Employers will make arrangements to ensure NQSWs are able to access the support and learning opportunities outlined in F</w:t>
      </w:r>
      <w:r w:rsidR="004020CD" w:rsidRPr="004020CD">
        <w:rPr>
          <w:rFonts w:eastAsia="Times New Roman" w:cs="Segoe UI"/>
          <w:szCs w:val="22"/>
          <w:lang w:eastAsia="en-GB"/>
        </w:rPr>
        <w:t xml:space="preserve">igure </w:t>
      </w:r>
      <w:r w:rsidR="007776BD">
        <w:rPr>
          <w:rFonts w:eastAsia="Times New Roman" w:cs="Segoe UI"/>
          <w:szCs w:val="22"/>
          <w:lang w:eastAsia="en-GB"/>
        </w:rPr>
        <w:t>3</w:t>
      </w:r>
      <w:r w:rsidRPr="004020CD">
        <w:rPr>
          <w:rFonts w:eastAsia="Times New Roman" w:cs="Segoe UI"/>
          <w:szCs w:val="22"/>
          <w:lang w:eastAsia="en-GB"/>
        </w:rPr>
        <w:t>. These supports have been consistently identified in research and evaluation as necessary to support NQSWs to successfully navigate the competing pressures, demands and expectations of the professional role. They will also help the NQSW to meet their registration requirements and progress against the Standards.</w:t>
      </w:r>
    </w:p>
    <w:p w14:paraId="32E31995" w14:textId="77777777" w:rsidR="00915144" w:rsidRDefault="00915144" w:rsidP="009034C8">
      <w:pPr>
        <w:textAlignment w:val="baseline"/>
        <w:rPr>
          <w:rFonts w:eastAsia="Times New Roman" w:cs="Segoe UI"/>
          <w:color w:val="FF0000"/>
          <w:szCs w:val="22"/>
          <w:lang w:eastAsia="en-GB"/>
        </w:rPr>
      </w:pPr>
    </w:p>
    <w:p w14:paraId="06B099FB" w14:textId="005B4F96" w:rsidR="00A476F2" w:rsidRDefault="00A476F2" w:rsidP="00D82CBA">
      <w:pPr>
        <w:textAlignment w:val="baseline"/>
        <w:rPr>
          <w:rFonts w:eastAsia="Times New Roman" w:cs="Segoe UI"/>
          <w:szCs w:val="22"/>
          <w:lang w:eastAsia="en-GB"/>
        </w:rPr>
      </w:pPr>
    </w:p>
    <w:p w14:paraId="0F2D69D8" w14:textId="19157347" w:rsidR="009C5FE0" w:rsidRPr="00CF223A" w:rsidRDefault="009C5FE0" w:rsidP="009C5FE0">
      <w:pPr>
        <w:textAlignment w:val="baseline"/>
        <w:rPr>
          <w:rFonts w:eastAsia="Times New Roman" w:cs="Segoe UI"/>
          <w:szCs w:val="22"/>
          <w:lang w:eastAsia="en-GB"/>
        </w:rPr>
      </w:pPr>
      <w:bookmarkStart w:id="3" w:name="_Hlk72516393"/>
      <w:r w:rsidRPr="00CF223A">
        <w:rPr>
          <w:rFonts w:eastAsia="Times New Roman" w:cs="Segoe UI"/>
          <w:szCs w:val="22"/>
          <w:lang w:eastAsia="en-GB"/>
        </w:rPr>
        <w:t>Fig</w:t>
      </w:r>
      <w:r w:rsidR="002F656D">
        <w:rPr>
          <w:rFonts w:eastAsia="Times New Roman" w:cs="Segoe UI"/>
          <w:szCs w:val="22"/>
          <w:lang w:eastAsia="en-GB"/>
        </w:rPr>
        <w:t>ure</w:t>
      </w:r>
      <w:r w:rsidR="00997432">
        <w:rPr>
          <w:rFonts w:eastAsia="Times New Roman" w:cs="Segoe UI"/>
          <w:szCs w:val="22"/>
          <w:lang w:eastAsia="en-GB"/>
        </w:rPr>
        <w:t xml:space="preserve"> </w:t>
      </w:r>
      <w:r w:rsidR="007776BD">
        <w:rPr>
          <w:rFonts w:eastAsia="Times New Roman" w:cs="Segoe UI"/>
          <w:szCs w:val="22"/>
          <w:lang w:eastAsia="en-GB"/>
        </w:rPr>
        <w:t>3</w:t>
      </w:r>
      <w:r w:rsidRPr="00CF223A">
        <w:rPr>
          <w:rFonts w:eastAsia="Times New Roman" w:cs="Segoe UI"/>
          <w:szCs w:val="22"/>
          <w:lang w:eastAsia="en-GB"/>
        </w:rPr>
        <w:t xml:space="preserve"> Core elements of NQSW Supported Year</w:t>
      </w:r>
    </w:p>
    <w:bookmarkEnd w:id="3"/>
    <w:p w14:paraId="5C423C0A" w14:textId="77777777" w:rsidR="009C5FE0" w:rsidRDefault="009C5FE0" w:rsidP="009C5FE0">
      <w:pPr>
        <w:textAlignment w:val="baseline"/>
        <w:rPr>
          <w:rFonts w:eastAsia="Times New Roman" w:cs="Segoe UI"/>
          <w:szCs w:val="22"/>
          <w:lang w:eastAsia="en-GB"/>
        </w:rPr>
      </w:pPr>
    </w:p>
    <w:p w14:paraId="5EC1B839" w14:textId="77777777" w:rsidR="00AF351E" w:rsidRDefault="00AF351E" w:rsidP="00D82CBA">
      <w:pPr>
        <w:textAlignment w:val="baseline"/>
        <w:rPr>
          <w:rFonts w:eastAsia="Times New Roman" w:cs="Segoe UI"/>
          <w:szCs w:val="22"/>
          <w:lang w:eastAsia="en-GB"/>
        </w:rPr>
      </w:pPr>
    </w:p>
    <w:p w14:paraId="157BCFB2" w14:textId="54890D01" w:rsidR="002B0599" w:rsidRDefault="002B0599" w:rsidP="00D82CBA">
      <w:pPr>
        <w:textAlignment w:val="baseline"/>
        <w:rPr>
          <w:rFonts w:eastAsia="Times New Roman" w:cs="Segoe UI"/>
          <w:szCs w:val="22"/>
          <w:lang w:eastAsia="en-GB"/>
        </w:rPr>
      </w:pPr>
      <w:r>
        <w:rPr>
          <w:noProof/>
        </w:rPr>
        <w:drawing>
          <wp:inline distT="0" distB="0" distL="0" distR="0" wp14:anchorId="28C4BE60" wp14:editId="516CE52B">
            <wp:extent cx="5501640" cy="3744358"/>
            <wp:effectExtent l="0" t="0" r="0" b="8890"/>
            <wp:docPr id="1" name="Picture 1" descr="A circle diagram outlining the core elements of the NQSW supported year. Induction, professional supervision, professional development, continuous professional learning, protected caseload, protected learning time, peer support and mentor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ircle diagram outlining the core elements of the NQSW supported year. Induction, professional supervision, professional development, continuous professional learning, protected caseload, protected learning time, peer support and mentoring. "/>
                    <pic:cNvPicPr/>
                  </pic:nvPicPr>
                  <pic:blipFill>
                    <a:blip r:embed="rId17">
                      <a:extLst>
                        <a:ext uri="{28A0092B-C50C-407E-A947-70E740481C1C}">
                          <a14:useLocalDpi xmlns:a14="http://schemas.microsoft.com/office/drawing/2010/main" val="0"/>
                        </a:ext>
                      </a:extLst>
                    </a:blip>
                    <a:stretch>
                      <a:fillRect/>
                    </a:stretch>
                  </pic:blipFill>
                  <pic:spPr>
                    <a:xfrm>
                      <a:off x="0" y="0"/>
                      <a:ext cx="5505212" cy="3746789"/>
                    </a:xfrm>
                    <a:prstGeom prst="rect">
                      <a:avLst/>
                    </a:prstGeom>
                  </pic:spPr>
                </pic:pic>
              </a:graphicData>
            </a:graphic>
          </wp:inline>
        </w:drawing>
      </w:r>
    </w:p>
    <w:p w14:paraId="09748910" w14:textId="56BAD6A5" w:rsidR="002B0599" w:rsidRDefault="002B0599" w:rsidP="00D82CBA">
      <w:pPr>
        <w:textAlignment w:val="baseline"/>
        <w:rPr>
          <w:rFonts w:eastAsia="Times New Roman" w:cs="Segoe UI"/>
          <w:szCs w:val="22"/>
          <w:lang w:eastAsia="en-GB"/>
        </w:rPr>
      </w:pPr>
    </w:p>
    <w:p w14:paraId="6B276F0E" w14:textId="77777777" w:rsidR="002B0599" w:rsidRDefault="002B0599" w:rsidP="00D82CBA">
      <w:pPr>
        <w:textAlignment w:val="baseline"/>
        <w:rPr>
          <w:rFonts w:eastAsia="Times New Roman" w:cs="Segoe UI"/>
          <w:szCs w:val="22"/>
          <w:lang w:eastAsia="en-GB"/>
        </w:rPr>
      </w:pPr>
    </w:p>
    <w:p w14:paraId="06AABEB6" w14:textId="0DACE6D5" w:rsidR="0091496A" w:rsidRDefault="0091496A" w:rsidP="00D82CBA">
      <w:pPr>
        <w:textAlignment w:val="baseline"/>
        <w:rPr>
          <w:rFonts w:eastAsia="Times New Roman" w:cs="Segoe UI"/>
          <w:color w:val="FF0000"/>
          <w:szCs w:val="22"/>
          <w:lang w:eastAsia="en-GB"/>
        </w:rPr>
      </w:pPr>
    </w:p>
    <w:p w14:paraId="3D202656" w14:textId="156B8A7C" w:rsidR="003E5559" w:rsidRDefault="003E5559" w:rsidP="00D82CBA">
      <w:pPr>
        <w:textAlignment w:val="baseline"/>
        <w:rPr>
          <w:rFonts w:eastAsia="Times New Roman" w:cs="Segoe UI"/>
          <w:color w:val="FF0000"/>
          <w:szCs w:val="22"/>
          <w:lang w:eastAsia="en-GB"/>
        </w:rPr>
      </w:pPr>
    </w:p>
    <w:p w14:paraId="59AC7756" w14:textId="486AF23D" w:rsidR="003E5559" w:rsidRDefault="003E5559" w:rsidP="00D82CBA">
      <w:pPr>
        <w:textAlignment w:val="baseline"/>
        <w:rPr>
          <w:rFonts w:eastAsia="Times New Roman" w:cs="Segoe UI"/>
          <w:color w:val="FF0000"/>
          <w:szCs w:val="22"/>
          <w:lang w:eastAsia="en-GB"/>
        </w:rPr>
      </w:pPr>
    </w:p>
    <w:p w14:paraId="49DBD963" w14:textId="122F92E5" w:rsidR="003E5559" w:rsidRDefault="003E5559" w:rsidP="00D82CBA">
      <w:pPr>
        <w:textAlignment w:val="baseline"/>
        <w:rPr>
          <w:rFonts w:eastAsia="Times New Roman" w:cs="Segoe UI"/>
          <w:color w:val="FF0000"/>
          <w:szCs w:val="22"/>
          <w:lang w:eastAsia="en-GB"/>
        </w:rPr>
      </w:pPr>
    </w:p>
    <w:p w14:paraId="46230C32" w14:textId="4997AC0F" w:rsidR="003E5559" w:rsidRDefault="003E5559" w:rsidP="00D82CBA">
      <w:pPr>
        <w:textAlignment w:val="baseline"/>
        <w:rPr>
          <w:rFonts w:eastAsia="Times New Roman" w:cs="Segoe UI"/>
          <w:color w:val="FF0000"/>
          <w:szCs w:val="22"/>
          <w:lang w:eastAsia="en-GB"/>
        </w:rPr>
      </w:pPr>
    </w:p>
    <w:p w14:paraId="5AB0A9BE" w14:textId="77777777" w:rsidR="003E5559" w:rsidRDefault="003E5559" w:rsidP="00D82CBA">
      <w:pPr>
        <w:textAlignment w:val="baseline"/>
        <w:rPr>
          <w:rFonts w:eastAsia="Times New Roman" w:cs="Segoe UI"/>
          <w:color w:val="FF0000"/>
          <w:szCs w:val="22"/>
          <w:lang w:eastAsia="en-GB"/>
        </w:rPr>
      </w:pPr>
    </w:p>
    <w:p w14:paraId="5289EE48" w14:textId="420CF89F" w:rsidR="00D82CBA" w:rsidRPr="008B2CA5" w:rsidRDefault="00D82CBA" w:rsidP="00D82CBA">
      <w:pPr>
        <w:textAlignment w:val="baseline"/>
        <w:rPr>
          <w:rFonts w:eastAsia="Times New Roman" w:cs="Segoe UI"/>
          <w:color w:val="FF0000"/>
          <w:szCs w:val="22"/>
          <w:lang w:eastAsia="en-GB"/>
        </w:rPr>
      </w:pPr>
      <w:r w:rsidRPr="008B2CA5">
        <w:rPr>
          <w:rFonts w:eastAsia="Times New Roman" w:cs="Segoe UI"/>
          <w:color w:val="FF0000"/>
          <w:szCs w:val="22"/>
          <w:lang w:eastAsia="en-GB"/>
        </w:rPr>
        <w:t>  </w:t>
      </w:r>
    </w:p>
    <w:p w14:paraId="55C48570" w14:textId="77777777" w:rsidR="00F37F87" w:rsidRDefault="00F37F87" w:rsidP="00FB3914">
      <w:pPr>
        <w:pStyle w:val="Heading1"/>
        <w:rPr>
          <w:rFonts w:ascii="Verdana" w:hAnsi="Verdana"/>
          <w:b/>
          <w:bCs/>
          <w:color w:val="00498F"/>
          <w:sz w:val="28"/>
          <w:szCs w:val="28"/>
        </w:rPr>
      </w:pPr>
    </w:p>
    <w:p w14:paraId="72A066DB" w14:textId="77777777" w:rsidR="00AB641E" w:rsidRPr="00AB641E" w:rsidRDefault="00AB641E" w:rsidP="00AB641E">
      <w:pPr>
        <w:spacing w:line="276" w:lineRule="auto"/>
        <w:textAlignment w:val="baseline"/>
        <w:rPr>
          <w:rFonts w:eastAsia="Calibri" w:cs="Times New Roman"/>
          <w:szCs w:val="22"/>
        </w:rPr>
      </w:pPr>
      <w:r w:rsidRPr="00AB641E">
        <w:rPr>
          <w:rFonts w:eastAsia="Calibri" w:cs="Times New Roman"/>
          <w:b/>
          <w:bCs/>
          <w:szCs w:val="22"/>
        </w:rPr>
        <w:t>Induction</w:t>
      </w:r>
      <w:r w:rsidRPr="00AB641E">
        <w:rPr>
          <w:rFonts w:eastAsia="Calibri" w:cs="Times New Roman"/>
          <w:szCs w:val="22"/>
        </w:rPr>
        <w:t xml:space="preserve"> </w:t>
      </w:r>
    </w:p>
    <w:p w14:paraId="0E96DD4B" w14:textId="77777777" w:rsidR="00AB641E" w:rsidRPr="00AB641E" w:rsidRDefault="00AB641E" w:rsidP="00AB641E">
      <w:pPr>
        <w:spacing w:line="276" w:lineRule="auto"/>
        <w:textAlignment w:val="baseline"/>
        <w:rPr>
          <w:rFonts w:eastAsiaTheme="minorHAnsi"/>
          <w:szCs w:val="22"/>
        </w:rPr>
      </w:pPr>
      <w:r w:rsidRPr="00AB641E">
        <w:rPr>
          <w:rFonts w:eastAsia="Calibri" w:cs="Times New Roman"/>
          <w:szCs w:val="22"/>
        </w:rPr>
        <w:t xml:space="preserve">Induction </w:t>
      </w:r>
      <w:r w:rsidRPr="00AB641E">
        <w:rPr>
          <w:rFonts w:eastAsia="Times New Roman" w:cs="Segoe UI"/>
          <w:szCs w:val="22"/>
          <w:lang w:eastAsia="en-GB"/>
        </w:rPr>
        <w:t xml:space="preserve">activities will provide the NQSW with an understanding of the expectations of their employer, familiarity with policy and procedure, requirements, legislation and recording systems.  It will also include </w:t>
      </w:r>
      <w:r w:rsidRPr="00AB641E">
        <w:rPr>
          <w:rFonts w:eastAsiaTheme="minorHAnsi"/>
          <w:szCs w:val="22"/>
        </w:rPr>
        <w:t xml:space="preserve">familiarity with the immediate contexts of professional practice; people who use services, communities, wider inter-professional services and </w:t>
      </w:r>
      <w:r w:rsidRPr="00AB641E">
        <w:rPr>
          <w:rFonts w:eastAsia="Times New Roman" w:cs="Segoe UI"/>
          <w:szCs w:val="22"/>
          <w:lang w:eastAsia="en-GB"/>
        </w:rPr>
        <w:t>multi-agency partnerships</w:t>
      </w:r>
      <w:r w:rsidRPr="00AB641E">
        <w:rPr>
          <w:rFonts w:eastAsiaTheme="minorHAnsi"/>
          <w:szCs w:val="22"/>
        </w:rPr>
        <w:t xml:space="preserve">.  </w:t>
      </w:r>
    </w:p>
    <w:p w14:paraId="4CB431EE" w14:textId="77777777" w:rsidR="00AB641E" w:rsidRPr="00AB641E" w:rsidRDefault="00AB641E" w:rsidP="00AB641E">
      <w:pPr>
        <w:spacing w:line="276" w:lineRule="auto"/>
        <w:textAlignment w:val="baseline"/>
        <w:rPr>
          <w:rFonts w:eastAsiaTheme="minorHAnsi"/>
          <w:szCs w:val="22"/>
        </w:rPr>
      </w:pPr>
    </w:p>
    <w:p w14:paraId="37EC4D54" w14:textId="77777777" w:rsidR="00AB641E" w:rsidRPr="00AB641E" w:rsidRDefault="00AB641E" w:rsidP="00AB641E">
      <w:pPr>
        <w:spacing w:line="276" w:lineRule="auto"/>
        <w:textAlignment w:val="baseline"/>
        <w:rPr>
          <w:rFonts w:eastAsia="Times New Roman" w:cs="Segoe UI"/>
          <w:szCs w:val="22"/>
          <w:lang w:eastAsia="en-GB"/>
        </w:rPr>
      </w:pPr>
      <w:r w:rsidRPr="00AB641E">
        <w:rPr>
          <w:rFonts w:eastAsia="Times New Roman" w:cs="Segoe UI"/>
          <w:szCs w:val="22"/>
          <w:lang w:eastAsia="en-GB"/>
        </w:rPr>
        <w:t xml:space="preserve">In addition, induction will be sufficiently flexible to encompass a more generic understanding of the role and contribution of social workers to the wellbeing and protection of adults and children from harm regardless of their role or setting.  </w:t>
      </w:r>
      <w:r w:rsidRPr="00AB641E">
        <w:rPr>
          <w:rFonts w:eastAsiaTheme="minorHAnsi"/>
          <w:szCs w:val="22"/>
        </w:rPr>
        <w:t xml:space="preserve">The induction </w:t>
      </w:r>
      <w:r w:rsidRPr="00AB641E">
        <w:rPr>
          <w:rFonts w:eastAsia="Times New Roman" w:cs="Segoe UI"/>
          <w:szCs w:val="22"/>
          <w:lang w:eastAsia="en-GB"/>
        </w:rPr>
        <w:t>may be provided through a formal induction programme and/or arrangements determined by the individual setting.  </w:t>
      </w:r>
      <w:r w:rsidRPr="00AB641E">
        <w:rPr>
          <w:rFonts w:eastAsiaTheme="minorHAnsi"/>
          <w:szCs w:val="22"/>
        </w:rPr>
        <w:t xml:space="preserve">  </w:t>
      </w:r>
    </w:p>
    <w:p w14:paraId="7F5F6F7F" w14:textId="77777777" w:rsidR="00AB641E" w:rsidRPr="00AB641E" w:rsidRDefault="00AB641E" w:rsidP="00AB641E">
      <w:pPr>
        <w:spacing w:after="160" w:line="276" w:lineRule="auto"/>
        <w:rPr>
          <w:rFonts w:eastAsia="Times New Roman" w:cs="Segoe UI"/>
          <w:szCs w:val="22"/>
          <w:lang w:eastAsia="en-GB"/>
        </w:rPr>
      </w:pPr>
    </w:p>
    <w:p w14:paraId="0B454F21" w14:textId="6FF8C4C1" w:rsidR="00AB641E" w:rsidRPr="00AB641E" w:rsidRDefault="00AB641E" w:rsidP="00AB641E">
      <w:pPr>
        <w:spacing w:after="160" w:line="276" w:lineRule="auto"/>
        <w:rPr>
          <w:rFonts w:eastAsia="Times New Roman" w:cs="Segoe UI"/>
          <w:szCs w:val="22"/>
          <w:lang w:eastAsia="en-GB"/>
        </w:rPr>
      </w:pPr>
      <w:r w:rsidRPr="00AB641E">
        <w:rPr>
          <w:rFonts w:eastAsia="Times New Roman" w:cs="Segoe UI"/>
          <w:b/>
          <w:bCs/>
          <w:szCs w:val="22"/>
          <w:lang w:eastAsia="en-GB"/>
        </w:rPr>
        <w:t>P</w:t>
      </w:r>
      <w:r w:rsidRPr="00AB641E">
        <w:rPr>
          <w:rFonts w:eastAsiaTheme="minorHAnsi"/>
          <w:b/>
          <w:bCs/>
          <w:szCs w:val="22"/>
        </w:rPr>
        <w:t xml:space="preserve">rofessional </w:t>
      </w:r>
      <w:r w:rsidR="00997432">
        <w:rPr>
          <w:rFonts w:eastAsiaTheme="minorHAnsi"/>
          <w:b/>
          <w:bCs/>
          <w:szCs w:val="22"/>
        </w:rPr>
        <w:t>s</w:t>
      </w:r>
      <w:r w:rsidRPr="00AB641E">
        <w:rPr>
          <w:rFonts w:eastAsia="Times New Roman" w:cs="Segoe UI"/>
          <w:b/>
          <w:bCs/>
          <w:szCs w:val="22"/>
          <w:lang w:eastAsia="en-GB"/>
        </w:rPr>
        <w:t>upervision</w:t>
      </w:r>
      <w:r w:rsidRPr="00AB641E">
        <w:rPr>
          <w:rFonts w:eastAsia="Times New Roman" w:cs="Segoe UI"/>
          <w:szCs w:val="22"/>
          <w:lang w:eastAsia="en-GB"/>
        </w:rPr>
        <w:t xml:space="preserve"> </w:t>
      </w:r>
    </w:p>
    <w:p w14:paraId="7CF95F5B" w14:textId="7CE3C8E6" w:rsidR="00AB641E" w:rsidRPr="00AB641E" w:rsidRDefault="00AB641E" w:rsidP="00AB641E">
      <w:pPr>
        <w:spacing w:after="160" w:line="276" w:lineRule="auto"/>
        <w:rPr>
          <w:rFonts w:eastAsia="Times New Roman" w:cs="Segoe UI"/>
          <w:szCs w:val="22"/>
          <w:lang w:eastAsia="en-GB"/>
        </w:rPr>
      </w:pPr>
      <w:r w:rsidRPr="00AB641E">
        <w:rPr>
          <w:rFonts w:eastAsia="Times New Roman" w:cs="Segoe UI"/>
          <w:szCs w:val="22"/>
          <w:lang w:eastAsia="en-GB"/>
        </w:rPr>
        <w:t xml:space="preserve">Regular professional supervision is an essential component of accountable social work practice and in line with the SSSC Codes of Practice. When carried out effectively it will support safe professional practice. It involves reflective dialogue and exploration clearly linked to practice and outcomes for people using services, closely associated with reflexivity, learning and resilience. </w:t>
      </w:r>
    </w:p>
    <w:p w14:paraId="05CC1302" w14:textId="2B41C630" w:rsidR="00AB641E" w:rsidRPr="00AB641E" w:rsidRDefault="00A71F5E" w:rsidP="00AB641E">
      <w:pPr>
        <w:spacing w:after="160" w:line="276" w:lineRule="auto"/>
        <w:rPr>
          <w:rFonts w:eastAsia="Times New Roman" w:cs="Segoe UI"/>
          <w:szCs w:val="22"/>
          <w:lang w:eastAsia="en-GB"/>
        </w:rPr>
      </w:pPr>
      <w:r>
        <w:rPr>
          <w:rFonts w:eastAsia="Times New Roman" w:cs="Segoe UI"/>
          <w:szCs w:val="22"/>
          <w:lang w:eastAsia="en-GB"/>
        </w:rPr>
        <w:t>Professional s</w:t>
      </w:r>
      <w:r w:rsidR="00AB641E" w:rsidRPr="00AB641E">
        <w:rPr>
          <w:rFonts w:eastAsia="Times New Roman" w:cs="Segoe UI"/>
          <w:szCs w:val="22"/>
          <w:lang w:eastAsia="en-GB"/>
        </w:rPr>
        <w:t>upervision</w:t>
      </w:r>
      <w:r w:rsidR="00AB641E" w:rsidRPr="00AB641E">
        <w:rPr>
          <w:rFonts w:eastAsia="Segoe UI" w:cs="Segoe UI"/>
          <w:color w:val="333333"/>
          <w:szCs w:val="22"/>
        </w:rPr>
        <w:t xml:space="preserve"> will take place in line with an effective organisational supervision policy and professional governance context.</w:t>
      </w:r>
      <w:r w:rsidR="00AB641E" w:rsidRPr="00AB641E">
        <w:rPr>
          <w:rFonts w:eastAsia="Times New Roman" w:cs="Segoe UI"/>
          <w:szCs w:val="22"/>
          <w:lang w:eastAsia="en-GB"/>
        </w:rPr>
        <w:t xml:space="preserve"> It will support NQSWs to meet the Standards and evidence their adherence to the SSSC Codes of Practice.</w:t>
      </w:r>
    </w:p>
    <w:p w14:paraId="0101EB67" w14:textId="77777777" w:rsidR="00AB641E" w:rsidRPr="00AB641E" w:rsidRDefault="00AB641E" w:rsidP="00AB641E">
      <w:pPr>
        <w:spacing w:after="160" w:line="276" w:lineRule="auto"/>
        <w:rPr>
          <w:rFonts w:eastAsia="Times New Roman" w:cs="Segoe UI"/>
          <w:szCs w:val="22"/>
          <w:lang w:eastAsia="en-GB"/>
        </w:rPr>
      </w:pPr>
      <w:r w:rsidRPr="00AB641E">
        <w:rPr>
          <w:rFonts w:eastAsia="Times New Roman" w:cs="Segoe UI"/>
          <w:szCs w:val="22"/>
          <w:lang w:eastAsia="en-GB"/>
        </w:rPr>
        <w:t xml:space="preserve">During the NQSW supported year, arrangements will be made for professional supervision to be provided by a qualified social worker with supervisory responsibilities as part of their role.  This is likely to be their line manager, however in some settings alternative arrangements should be made in line with effective professional governance.  </w:t>
      </w:r>
    </w:p>
    <w:p w14:paraId="41B08052" w14:textId="468ECAE8" w:rsidR="00AB641E" w:rsidRPr="00AB641E" w:rsidRDefault="00AB641E" w:rsidP="00AB641E">
      <w:pPr>
        <w:spacing w:after="160" w:line="276" w:lineRule="auto"/>
        <w:rPr>
          <w:rFonts w:eastAsia="Times New Roman" w:cs="Segoe UI"/>
          <w:szCs w:val="22"/>
          <w:lang w:eastAsia="en-GB"/>
        </w:rPr>
      </w:pPr>
      <w:r w:rsidRPr="00AB641E">
        <w:rPr>
          <w:rFonts w:eastAsia="Times New Roman" w:cs="Segoe UI"/>
          <w:szCs w:val="22"/>
          <w:lang w:eastAsia="en-GB"/>
        </w:rPr>
        <w:t xml:space="preserve">Formal professional supervision will be provided no less than </w:t>
      </w:r>
      <w:r w:rsidR="00997432">
        <w:rPr>
          <w:rFonts w:eastAsia="Times New Roman" w:cs="Segoe UI"/>
          <w:szCs w:val="22"/>
          <w:lang w:eastAsia="en-GB"/>
        </w:rPr>
        <w:t>four</w:t>
      </w:r>
      <w:r w:rsidRPr="00AB641E">
        <w:rPr>
          <w:rFonts w:eastAsia="Times New Roman" w:cs="Segoe UI"/>
          <w:szCs w:val="22"/>
          <w:lang w:eastAsia="en-GB"/>
        </w:rPr>
        <w:t>-weekly, and in initial stages of the NQSW supported year this may be more frequent. Regular support such as guidance and case discussion would be expected to take place in-between any formal supervision meetings.</w:t>
      </w:r>
    </w:p>
    <w:p w14:paraId="2B37A295" w14:textId="77777777" w:rsidR="00AB641E" w:rsidRPr="00AB641E" w:rsidRDefault="00AB641E" w:rsidP="00AB641E">
      <w:pPr>
        <w:spacing w:after="160" w:line="276" w:lineRule="auto"/>
        <w:rPr>
          <w:rFonts w:eastAsia="Times New Roman" w:cs="Segoe UI"/>
          <w:szCs w:val="22"/>
          <w:lang w:eastAsia="en-GB"/>
        </w:rPr>
      </w:pPr>
      <w:r w:rsidRPr="00AB641E">
        <w:rPr>
          <w:rFonts w:eastAsia="Times New Roman" w:cs="Segoe UI"/>
          <w:szCs w:val="22"/>
          <w:lang w:eastAsia="en-GB"/>
        </w:rPr>
        <w:t xml:space="preserve">Supervision will be structured to focus on: </w:t>
      </w:r>
    </w:p>
    <w:p w14:paraId="1064F670" w14:textId="77777777" w:rsidR="00AB641E" w:rsidRPr="00AB641E" w:rsidRDefault="00AB641E" w:rsidP="00AB641E">
      <w:pPr>
        <w:numPr>
          <w:ilvl w:val="0"/>
          <w:numId w:val="21"/>
        </w:numPr>
        <w:spacing w:after="160" w:line="276" w:lineRule="auto"/>
        <w:contextualSpacing/>
        <w:rPr>
          <w:rFonts w:eastAsia="Times New Roman" w:cs="Segoe UI"/>
          <w:szCs w:val="22"/>
          <w:lang w:eastAsia="en-GB"/>
        </w:rPr>
      </w:pPr>
      <w:r w:rsidRPr="00AB641E">
        <w:rPr>
          <w:rFonts w:eastAsia="Times New Roman" w:cs="Segoe UI"/>
          <w:szCs w:val="22"/>
          <w:lang w:eastAsia="en-GB"/>
        </w:rPr>
        <w:t>NQSW wellbeing</w:t>
      </w:r>
    </w:p>
    <w:p w14:paraId="0C4EE508" w14:textId="795E3E1D" w:rsidR="00AB641E" w:rsidRPr="00AB641E" w:rsidRDefault="00997432" w:rsidP="00AB641E">
      <w:pPr>
        <w:numPr>
          <w:ilvl w:val="0"/>
          <w:numId w:val="21"/>
        </w:numPr>
        <w:spacing w:after="160" w:line="276" w:lineRule="auto"/>
        <w:contextualSpacing/>
        <w:rPr>
          <w:rFonts w:eastAsia="Times New Roman" w:cs="Segoe UI"/>
          <w:szCs w:val="22"/>
          <w:lang w:eastAsia="en-GB"/>
        </w:rPr>
      </w:pPr>
      <w:r>
        <w:rPr>
          <w:rFonts w:eastAsia="Times New Roman" w:cs="Segoe UI"/>
          <w:szCs w:val="22"/>
          <w:lang w:eastAsia="en-GB"/>
        </w:rPr>
        <w:t>p</w:t>
      </w:r>
      <w:r w:rsidR="00AB641E" w:rsidRPr="00AB641E">
        <w:rPr>
          <w:rFonts w:eastAsia="Times New Roman" w:cs="Segoe UI"/>
          <w:szCs w:val="22"/>
          <w:lang w:eastAsia="en-GB"/>
        </w:rPr>
        <w:t>rofessional development and learning</w:t>
      </w:r>
    </w:p>
    <w:p w14:paraId="49B51C2D" w14:textId="155DE7EF" w:rsidR="00AB641E" w:rsidRPr="00AB641E" w:rsidRDefault="00997432" w:rsidP="00AB641E">
      <w:pPr>
        <w:numPr>
          <w:ilvl w:val="0"/>
          <w:numId w:val="21"/>
        </w:numPr>
        <w:spacing w:after="160" w:line="276" w:lineRule="auto"/>
        <w:contextualSpacing/>
        <w:rPr>
          <w:rFonts w:eastAsia="Times New Roman" w:cs="Segoe UI"/>
          <w:szCs w:val="22"/>
          <w:lang w:eastAsia="en-GB"/>
        </w:rPr>
      </w:pPr>
      <w:r>
        <w:rPr>
          <w:rFonts w:eastAsia="Times New Roman" w:cs="Segoe UI"/>
          <w:szCs w:val="22"/>
          <w:lang w:eastAsia="en-GB"/>
        </w:rPr>
        <w:t>r</w:t>
      </w:r>
      <w:r w:rsidR="00AB641E" w:rsidRPr="00AB641E">
        <w:rPr>
          <w:rFonts w:eastAsia="Times New Roman" w:cs="Segoe UI"/>
          <w:szCs w:val="22"/>
          <w:lang w:eastAsia="en-GB"/>
        </w:rPr>
        <w:t xml:space="preserve">eflective and reflexive case discussion </w:t>
      </w:r>
    </w:p>
    <w:p w14:paraId="4406D3FF" w14:textId="25A38B78" w:rsidR="00AB641E" w:rsidRPr="00AB641E" w:rsidRDefault="00997432" w:rsidP="00AB641E">
      <w:pPr>
        <w:numPr>
          <w:ilvl w:val="0"/>
          <w:numId w:val="21"/>
        </w:numPr>
        <w:spacing w:after="160" w:line="276" w:lineRule="auto"/>
        <w:contextualSpacing/>
        <w:rPr>
          <w:rFonts w:eastAsia="Times New Roman" w:cs="Segoe UI"/>
          <w:szCs w:val="22"/>
          <w:lang w:eastAsia="en-GB"/>
        </w:rPr>
      </w:pPr>
      <w:r>
        <w:rPr>
          <w:rFonts w:eastAsia="Times New Roman" w:cs="Segoe UI"/>
          <w:szCs w:val="22"/>
          <w:lang w:eastAsia="en-GB"/>
        </w:rPr>
        <w:t>s</w:t>
      </w:r>
      <w:r w:rsidR="00AB641E" w:rsidRPr="00AB641E">
        <w:rPr>
          <w:rFonts w:eastAsia="Times New Roman" w:cs="Segoe UI"/>
          <w:szCs w:val="22"/>
          <w:lang w:eastAsia="en-GB"/>
        </w:rPr>
        <w:t xml:space="preserve">ystemic and management issues </w:t>
      </w:r>
    </w:p>
    <w:p w14:paraId="54FFBBD2" w14:textId="77777777" w:rsidR="00AB641E" w:rsidRPr="00AB641E" w:rsidRDefault="00AB641E" w:rsidP="00AB641E">
      <w:pPr>
        <w:spacing w:line="276" w:lineRule="auto"/>
        <w:textAlignment w:val="baseline"/>
        <w:rPr>
          <w:rFonts w:eastAsia="Calibri" w:cs="Times New Roman"/>
          <w:szCs w:val="22"/>
        </w:rPr>
      </w:pPr>
    </w:p>
    <w:p w14:paraId="71D54D7D" w14:textId="77777777" w:rsidR="00AB641E" w:rsidRPr="00AB641E" w:rsidRDefault="00AB641E" w:rsidP="00AB641E">
      <w:pPr>
        <w:spacing w:line="276" w:lineRule="auto"/>
        <w:textAlignment w:val="baseline"/>
        <w:rPr>
          <w:rFonts w:eastAsia="Calibri" w:cs="Times New Roman"/>
          <w:szCs w:val="22"/>
        </w:rPr>
      </w:pPr>
    </w:p>
    <w:p w14:paraId="1F0AAB53" w14:textId="77777777" w:rsidR="00AB641E" w:rsidRPr="00AB641E" w:rsidRDefault="00AB641E" w:rsidP="00AB641E">
      <w:pPr>
        <w:spacing w:line="276" w:lineRule="auto"/>
        <w:textAlignment w:val="baseline"/>
        <w:rPr>
          <w:rFonts w:eastAsia="Calibri" w:cs="Times New Roman"/>
          <w:szCs w:val="22"/>
        </w:rPr>
      </w:pPr>
    </w:p>
    <w:p w14:paraId="775B4CD1" w14:textId="77777777" w:rsidR="00AB641E" w:rsidRPr="00AB641E" w:rsidRDefault="00AB641E" w:rsidP="00AB641E">
      <w:pPr>
        <w:spacing w:line="276" w:lineRule="auto"/>
        <w:textAlignment w:val="baseline"/>
        <w:rPr>
          <w:rFonts w:eastAsia="Calibri" w:cs="Times New Roman"/>
          <w:szCs w:val="22"/>
        </w:rPr>
      </w:pPr>
    </w:p>
    <w:p w14:paraId="049EDA93" w14:textId="0E2A4B98" w:rsidR="00AB641E" w:rsidRDefault="00AB641E" w:rsidP="00AB641E">
      <w:pPr>
        <w:spacing w:line="276" w:lineRule="auto"/>
        <w:textAlignment w:val="baseline"/>
        <w:rPr>
          <w:rFonts w:eastAsia="Calibri" w:cs="Times New Roman"/>
          <w:b/>
          <w:bCs/>
          <w:szCs w:val="22"/>
        </w:rPr>
      </w:pPr>
      <w:r w:rsidRPr="00AB641E">
        <w:rPr>
          <w:rFonts w:eastAsia="Calibri" w:cs="Times New Roman"/>
          <w:b/>
          <w:bCs/>
          <w:szCs w:val="22"/>
        </w:rPr>
        <w:lastRenderedPageBreak/>
        <w:t>Professional development</w:t>
      </w:r>
    </w:p>
    <w:p w14:paraId="07A2C743" w14:textId="77777777" w:rsidR="00997432" w:rsidRPr="00AB641E" w:rsidRDefault="00997432" w:rsidP="00AB641E">
      <w:pPr>
        <w:spacing w:line="276" w:lineRule="auto"/>
        <w:textAlignment w:val="baseline"/>
        <w:rPr>
          <w:rFonts w:eastAsia="Calibri" w:cs="Times New Roman"/>
          <w:b/>
          <w:bCs/>
          <w:szCs w:val="22"/>
        </w:rPr>
      </w:pPr>
    </w:p>
    <w:p w14:paraId="5D33FB90" w14:textId="43DCCCE2" w:rsidR="00AB641E" w:rsidRPr="00AB641E" w:rsidRDefault="00AB641E" w:rsidP="00AB641E">
      <w:pPr>
        <w:spacing w:line="276" w:lineRule="auto"/>
        <w:textAlignment w:val="baseline"/>
        <w:rPr>
          <w:rFonts w:eastAsia="Calibri" w:cs="Times New Roman"/>
          <w:szCs w:val="22"/>
        </w:rPr>
      </w:pPr>
      <w:r w:rsidRPr="00AB641E">
        <w:rPr>
          <w:rFonts w:eastAsia="Calibri" w:cs="Times New Roman"/>
          <w:szCs w:val="22"/>
        </w:rPr>
        <w:t xml:space="preserve">The NQSW </w:t>
      </w:r>
      <w:r w:rsidR="00997432">
        <w:rPr>
          <w:rFonts w:eastAsia="Calibri" w:cs="Times New Roman"/>
          <w:szCs w:val="22"/>
        </w:rPr>
        <w:t>S</w:t>
      </w:r>
      <w:r w:rsidRPr="00AB641E">
        <w:rPr>
          <w:rFonts w:eastAsia="Calibri" w:cs="Times New Roman"/>
          <w:szCs w:val="22"/>
        </w:rPr>
        <w:t xml:space="preserve">upported </w:t>
      </w:r>
      <w:r w:rsidR="00997432">
        <w:rPr>
          <w:rFonts w:eastAsia="Calibri" w:cs="Times New Roman"/>
          <w:szCs w:val="22"/>
        </w:rPr>
        <w:t>Y</w:t>
      </w:r>
      <w:r w:rsidRPr="00AB641E">
        <w:rPr>
          <w:rFonts w:eastAsia="Calibri" w:cs="Times New Roman"/>
          <w:szCs w:val="22"/>
        </w:rPr>
        <w:t xml:space="preserve">ear will focus on the professional development of the NQSW from qualifying education to competent and confident social worker.  </w:t>
      </w:r>
      <w:bookmarkStart w:id="4" w:name="_Hlk68868516"/>
    </w:p>
    <w:p w14:paraId="2E46AC10" w14:textId="77777777" w:rsidR="00AB641E" w:rsidRPr="00AB641E" w:rsidRDefault="00AB641E" w:rsidP="00AB641E">
      <w:pPr>
        <w:spacing w:line="276" w:lineRule="auto"/>
        <w:textAlignment w:val="baseline"/>
        <w:rPr>
          <w:rFonts w:eastAsia="Calibri" w:cs="Times New Roman"/>
          <w:szCs w:val="22"/>
        </w:rPr>
      </w:pPr>
    </w:p>
    <w:p w14:paraId="6843B91A" w14:textId="77777777" w:rsidR="00AB641E" w:rsidRPr="00AB641E" w:rsidRDefault="00AB641E" w:rsidP="00AB641E">
      <w:pPr>
        <w:spacing w:line="276" w:lineRule="auto"/>
        <w:rPr>
          <w:rFonts w:eastAsia="Calibri" w:cs="Times New Roman"/>
          <w:szCs w:val="22"/>
        </w:rPr>
      </w:pPr>
      <w:r w:rsidRPr="00AB641E">
        <w:rPr>
          <w:rFonts w:eastAsia="Calibri" w:cs="Times New Roman"/>
          <w:szCs w:val="22"/>
        </w:rPr>
        <w:t>The approach requires a structure that specifically focuses on development at fixed points over the course of the NQSW supported year. Formal development discussions, reviews and individual development planning will happen within the first four weeks of commencing the NQSW supported year and at the mid and end of NQSW supported year.</w:t>
      </w:r>
      <w:r w:rsidRPr="00AB641E">
        <w:rPr>
          <w:rFonts w:eastAsia="Calibri" w:cs="Times New Roman"/>
          <w:szCs w:val="22"/>
          <w:vertAlign w:val="superscript"/>
        </w:rPr>
        <w:footnoteReference w:id="3"/>
      </w:r>
      <w:r w:rsidRPr="00AB641E">
        <w:rPr>
          <w:rFonts w:eastAsia="Calibri" w:cs="Times New Roman"/>
          <w:szCs w:val="22"/>
          <w:vertAlign w:val="superscript"/>
        </w:rPr>
        <w:t xml:space="preserve"> </w:t>
      </w:r>
      <w:bookmarkEnd w:id="4"/>
    </w:p>
    <w:p w14:paraId="09210BBE" w14:textId="77777777" w:rsidR="00AB641E" w:rsidRPr="00AB641E" w:rsidRDefault="00AB641E" w:rsidP="00AB641E">
      <w:pPr>
        <w:spacing w:line="276" w:lineRule="auto"/>
        <w:rPr>
          <w:rFonts w:eastAsia="Verdana" w:cs="Verdana"/>
          <w:szCs w:val="22"/>
        </w:rPr>
      </w:pPr>
    </w:p>
    <w:p w14:paraId="53CC1DB6" w14:textId="67041079" w:rsidR="00AB641E" w:rsidRPr="00AB641E" w:rsidRDefault="00AB641E" w:rsidP="00AB641E">
      <w:pPr>
        <w:spacing w:line="276" w:lineRule="auto"/>
        <w:textAlignment w:val="baseline"/>
        <w:rPr>
          <w:rFonts w:eastAsiaTheme="minorHAnsi"/>
          <w:szCs w:val="22"/>
        </w:rPr>
      </w:pPr>
      <w:r w:rsidRPr="00AB641E">
        <w:rPr>
          <w:rFonts w:eastAsia="Calibri" w:cs="Times New Roman"/>
          <w:szCs w:val="22"/>
        </w:rPr>
        <w:t xml:space="preserve">The NQSW and supervisor will have protected time to identify and regularly review development needs, to plan CPL opportunities and consider evidence of consolidation and advancement against the Standards. </w:t>
      </w:r>
      <w:r w:rsidRPr="00AB641E">
        <w:rPr>
          <w:rFonts w:eastAsiaTheme="minorHAnsi"/>
          <w:szCs w:val="22"/>
        </w:rPr>
        <w:t xml:space="preserve">The allocation of protected time (see protected time section) will be sufficient to meet the needs of the NQSW, and to ensure that supervisors are afforded the time required to carry out the role. </w:t>
      </w:r>
    </w:p>
    <w:p w14:paraId="589CB6F7" w14:textId="77777777" w:rsidR="00AB641E" w:rsidRPr="00AB641E" w:rsidRDefault="00AB641E" w:rsidP="00AB641E">
      <w:pPr>
        <w:spacing w:line="276" w:lineRule="auto"/>
        <w:textAlignment w:val="baseline"/>
        <w:rPr>
          <w:rFonts w:eastAsia="Calibri" w:cs="Times New Roman"/>
          <w:szCs w:val="22"/>
        </w:rPr>
      </w:pPr>
    </w:p>
    <w:p w14:paraId="0F24187F" w14:textId="21F8EA4B" w:rsidR="00AB641E" w:rsidRPr="00AB641E" w:rsidRDefault="00AB641E" w:rsidP="00AB641E">
      <w:pPr>
        <w:spacing w:line="276" w:lineRule="auto"/>
        <w:textAlignment w:val="baseline"/>
        <w:rPr>
          <w:rFonts w:eastAsia="Calibri" w:cs="Times New Roman"/>
          <w:szCs w:val="22"/>
        </w:rPr>
      </w:pPr>
      <w:r w:rsidRPr="00AB641E">
        <w:rPr>
          <w:rFonts w:eastAsia="Calibri" w:cs="Times New Roman"/>
          <w:szCs w:val="22"/>
        </w:rPr>
        <w:t>The Individual Development Plan will be used to record the identified development needs and progress in line with the Standards. Professional dialogue about NQSW development and progress will be an integral part of the ongoing supervision and line management processes. The associated documentation will provide a record of this.</w:t>
      </w:r>
    </w:p>
    <w:p w14:paraId="76CC6FCA" w14:textId="77777777" w:rsidR="00AB641E" w:rsidRPr="00AB641E" w:rsidRDefault="00AB641E" w:rsidP="00AB641E">
      <w:pPr>
        <w:spacing w:line="276" w:lineRule="auto"/>
        <w:textAlignment w:val="baseline"/>
        <w:rPr>
          <w:rFonts w:eastAsia="Calibri" w:cs="Times New Roman"/>
          <w:szCs w:val="22"/>
        </w:rPr>
      </w:pPr>
    </w:p>
    <w:p w14:paraId="1BE9864E" w14:textId="77777777" w:rsidR="00AB641E" w:rsidRPr="00AB641E" w:rsidRDefault="00AB641E" w:rsidP="00AB641E">
      <w:pPr>
        <w:spacing w:line="276" w:lineRule="auto"/>
        <w:textAlignment w:val="baseline"/>
        <w:rPr>
          <w:rFonts w:eastAsia="Calibri" w:cs="Times New Roman"/>
          <w:szCs w:val="22"/>
        </w:rPr>
      </w:pPr>
      <w:r w:rsidRPr="00AB641E">
        <w:rPr>
          <w:rFonts w:eastAsia="Calibri" w:cs="Times New Roman"/>
          <w:szCs w:val="22"/>
        </w:rPr>
        <w:t>The process is intended to be developmental in nature and at the end of the NQSW supported year, supervisors will be asked to validate the NQSWs progress against the Standards and achievement of the CPL requirements.</w:t>
      </w:r>
    </w:p>
    <w:p w14:paraId="68D223CB" w14:textId="77777777" w:rsidR="00AB641E" w:rsidRPr="00AB641E" w:rsidRDefault="00AB641E" w:rsidP="00AB641E">
      <w:pPr>
        <w:spacing w:line="276" w:lineRule="auto"/>
        <w:textAlignment w:val="baseline"/>
        <w:rPr>
          <w:rFonts w:eastAsia="Calibri" w:cs="Times New Roman"/>
          <w:szCs w:val="22"/>
        </w:rPr>
      </w:pPr>
    </w:p>
    <w:p w14:paraId="761E5EF1" w14:textId="65410E25" w:rsidR="00AB641E" w:rsidRDefault="00AB641E" w:rsidP="00AB641E">
      <w:pPr>
        <w:spacing w:line="276" w:lineRule="auto"/>
        <w:textAlignment w:val="baseline"/>
        <w:rPr>
          <w:rFonts w:eastAsia="Calibri" w:cs="Times New Roman"/>
          <w:b/>
          <w:bCs/>
          <w:szCs w:val="22"/>
        </w:rPr>
      </w:pPr>
      <w:r w:rsidRPr="00AB641E">
        <w:rPr>
          <w:rFonts w:eastAsia="Calibri" w:cs="Times New Roman"/>
          <w:b/>
          <w:bCs/>
          <w:szCs w:val="22"/>
        </w:rPr>
        <w:t>Continuous learning opportunities</w:t>
      </w:r>
    </w:p>
    <w:p w14:paraId="0BC8858D" w14:textId="77777777" w:rsidR="00997432" w:rsidRPr="00AB641E" w:rsidRDefault="00997432" w:rsidP="00AB641E">
      <w:pPr>
        <w:spacing w:line="276" w:lineRule="auto"/>
        <w:textAlignment w:val="baseline"/>
        <w:rPr>
          <w:rFonts w:eastAsia="Calibri" w:cs="Times New Roman"/>
          <w:b/>
          <w:bCs/>
          <w:szCs w:val="22"/>
        </w:rPr>
      </w:pPr>
    </w:p>
    <w:p w14:paraId="062D4555" w14:textId="26B8191D" w:rsidR="00AB641E" w:rsidRPr="00AB641E" w:rsidRDefault="00AB641E" w:rsidP="00AB641E">
      <w:pPr>
        <w:spacing w:line="276" w:lineRule="auto"/>
        <w:textAlignment w:val="baseline"/>
        <w:rPr>
          <w:rFonts w:eastAsia="Calibri" w:cs="Times New Roman"/>
          <w:szCs w:val="22"/>
        </w:rPr>
      </w:pPr>
      <w:r w:rsidRPr="00AB641E">
        <w:rPr>
          <w:rFonts w:eastAsia="Calibri" w:cs="Times New Roman"/>
          <w:szCs w:val="22"/>
        </w:rPr>
        <w:t xml:space="preserve">The Standards provide a framework for supervisors and NQSWs to create an Individual Development Plan (IDP) designed to meet their needs including any mandatory CPL activities required to evidence meeting the Standards. The IDP will include agreement of formal, informal and naturally occurring learning opportunities provided by employers or identify how employers will support NQSWs to access them.  </w:t>
      </w:r>
    </w:p>
    <w:p w14:paraId="11C97213" w14:textId="77777777" w:rsidR="00AB641E" w:rsidRPr="00AB641E" w:rsidRDefault="00AB641E" w:rsidP="00AB641E">
      <w:pPr>
        <w:spacing w:line="276" w:lineRule="auto"/>
        <w:textAlignment w:val="baseline"/>
        <w:rPr>
          <w:rFonts w:eastAsia="Calibri" w:cs="Times New Roman"/>
          <w:szCs w:val="22"/>
        </w:rPr>
      </w:pPr>
    </w:p>
    <w:p w14:paraId="7829EC1C" w14:textId="77777777" w:rsidR="00AB641E" w:rsidRPr="00AB641E" w:rsidRDefault="00AB641E" w:rsidP="00AB641E">
      <w:pPr>
        <w:spacing w:line="276" w:lineRule="auto"/>
        <w:textAlignment w:val="baseline"/>
        <w:rPr>
          <w:rFonts w:eastAsia="Calibri" w:cs="Times New Roman"/>
          <w:szCs w:val="22"/>
        </w:rPr>
      </w:pPr>
      <w:r w:rsidRPr="00AB641E">
        <w:rPr>
          <w:rFonts w:eastAsia="Calibri" w:cs="Times New Roman"/>
          <w:szCs w:val="22"/>
        </w:rPr>
        <w:t xml:space="preserve">NQSWs will engage with these opportunities and seek out additional learning opportunities, such as experiential learning, self-directed study, research, and peer support.  </w:t>
      </w:r>
    </w:p>
    <w:p w14:paraId="7B53EAA0" w14:textId="77777777" w:rsidR="00AB641E" w:rsidRPr="00AB641E" w:rsidRDefault="00AB641E" w:rsidP="00AB641E">
      <w:pPr>
        <w:spacing w:line="276" w:lineRule="auto"/>
        <w:textAlignment w:val="baseline"/>
        <w:rPr>
          <w:rFonts w:eastAsia="Calibri" w:cs="Times New Roman"/>
          <w:szCs w:val="22"/>
        </w:rPr>
      </w:pPr>
    </w:p>
    <w:p w14:paraId="5D5CF116" w14:textId="2A74D8C9" w:rsidR="00AB641E" w:rsidRPr="00AB641E" w:rsidRDefault="00AB641E" w:rsidP="00AB641E">
      <w:pPr>
        <w:spacing w:line="276" w:lineRule="auto"/>
        <w:textAlignment w:val="baseline"/>
        <w:rPr>
          <w:rFonts w:eastAsia="Calibri" w:cs="Times New Roman"/>
          <w:szCs w:val="22"/>
        </w:rPr>
      </w:pPr>
      <w:r w:rsidRPr="00AB641E">
        <w:rPr>
          <w:rFonts w:eastAsia="Calibri" w:cs="Times New Roman"/>
          <w:szCs w:val="22"/>
        </w:rPr>
        <w:lastRenderedPageBreak/>
        <w:t>In planning, NQSW and supervisors are encouraged to value and use naturally occurring learning opportunities. Naturally occurring learning opportunities happen through everyday activities and allow the analysis of knowledge and skills required. This is most likely to happen when there are relevant, accessible tools/ frameworks and opportunities to support critical analysis. This can range from a critical incident analysis tools, to office arrangements that are conducive to peer support.</w:t>
      </w:r>
    </w:p>
    <w:p w14:paraId="5199C7A9" w14:textId="77777777" w:rsidR="00AB641E" w:rsidRPr="00AB641E" w:rsidRDefault="00AB641E" w:rsidP="00AB641E">
      <w:pPr>
        <w:spacing w:line="276" w:lineRule="auto"/>
        <w:textAlignment w:val="baseline"/>
        <w:rPr>
          <w:rFonts w:eastAsia="Calibri" w:cs="Times New Roman"/>
          <w:szCs w:val="22"/>
        </w:rPr>
      </w:pPr>
    </w:p>
    <w:p w14:paraId="36EB34B8" w14:textId="100E9BD6" w:rsidR="00AB641E" w:rsidRPr="00AB641E" w:rsidRDefault="00AB641E" w:rsidP="00AB641E">
      <w:pPr>
        <w:spacing w:line="276" w:lineRule="auto"/>
        <w:textAlignment w:val="baseline"/>
        <w:rPr>
          <w:rFonts w:eastAsia="Calibri" w:cs="Times New Roman"/>
          <w:szCs w:val="22"/>
        </w:rPr>
      </w:pPr>
      <w:r w:rsidRPr="00AB641E">
        <w:rPr>
          <w:rFonts w:eastAsiaTheme="minorHAnsi"/>
          <w:szCs w:val="22"/>
        </w:rPr>
        <w:t xml:space="preserve">The overall learning </w:t>
      </w:r>
      <w:r w:rsidRPr="00AB641E">
        <w:rPr>
          <w:rFonts w:eastAsia="Calibri" w:cs="Times New Roman"/>
          <w:szCs w:val="22"/>
        </w:rPr>
        <w:t xml:space="preserve">opportunities that an NQSW engages with must meet the stated CPL </w:t>
      </w:r>
      <w:r w:rsidR="005B01BE">
        <w:rPr>
          <w:rFonts w:eastAsia="Calibri" w:cs="Times New Roman"/>
          <w:szCs w:val="22"/>
        </w:rPr>
        <w:t>r</w:t>
      </w:r>
      <w:r w:rsidRPr="00AB641E">
        <w:rPr>
          <w:rFonts w:eastAsia="Calibri" w:cs="Times New Roman"/>
          <w:szCs w:val="22"/>
        </w:rPr>
        <w:t>egistration requirements including responsibilities for contributing to the protection of children and adults from harm.</w:t>
      </w:r>
    </w:p>
    <w:p w14:paraId="78523A20" w14:textId="77777777" w:rsidR="00AB641E" w:rsidRPr="00AB641E" w:rsidRDefault="00AB641E" w:rsidP="00AB641E">
      <w:pPr>
        <w:spacing w:line="276" w:lineRule="auto"/>
        <w:textAlignment w:val="baseline"/>
        <w:rPr>
          <w:rFonts w:eastAsia="Calibri" w:cs="Times New Roman"/>
          <w:b/>
          <w:bCs/>
          <w:szCs w:val="22"/>
        </w:rPr>
      </w:pPr>
    </w:p>
    <w:p w14:paraId="2A776342" w14:textId="77777777" w:rsidR="005B01BE" w:rsidRDefault="00AB641E" w:rsidP="00AB641E">
      <w:pPr>
        <w:spacing w:line="276" w:lineRule="auto"/>
        <w:textAlignment w:val="baseline"/>
        <w:rPr>
          <w:rFonts w:eastAsia="Calibri" w:cs="Times New Roman"/>
          <w:b/>
          <w:bCs/>
          <w:szCs w:val="22"/>
        </w:rPr>
      </w:pPr>
      <w:r w:rsidRPr="00AB641E">
        <w:rPr>
          <w:rFonts w:eastAsia="Calibri" w:cs="Times New Roman"/>
          <w:b/>
          <w:bCs/>
          <w:szCs w:val="22"/>
        </w:rPr>
        <w:t>Protected caseload</w:t>
      </w:r>
    </w:p>
    <w:p w14:paraId="058CE22D" w14:textId="1B7D2168" w:rsidR="00AB641E" w:rsidRPr="00AB641E" w:rsidRDefault="00AB641E" w:rsidP="00AB641E">
      <w:pPr>
        <w:spacing w:line="276" w:lineRule="auto"/>
        <w:textAlignment w:val="baseline"/>
        <w:rPr>
          <w:rFonts w:eastAsia="Calibri" w:cs="Times New Roman"/>
          <w:b/>
          <w:bCs/>
          <w:szCs w:val="22"/>
        </w:rPr>
      </w:pPr>
      <w:r w:rsidRPr="00AB641E">
        <w:rPr>
          <w:rFonts w:eastAsia="Calibri" w:cs="Times New Roman"/>
          <w:b/>
          <w:bCs/>
          <w:szCs w:val="22"/>
        </w:rPr>
        <w:t xml:space="preserve"> </w:t>
      </w:r>
    </w:p>
    <w:p w14:paraId="08CD9844" w14:textId="77777777" w:rsidR="00AB641E" w:rsidRPr="00AB641E" w:rsidRDefault="00AB641E" w:rsidP="00AB641E">
      <w:pPr>
        <w:spacing w:line="276" w:lineRule="auto"/>
        <w:textAlignment w:val="baseline"/>
        <w:rPr>
          <w:rFonts w:eastAsia="Times New Roman" w:cs="Segoe UI"/>
          <w:szCs w:val="22"/>
          <w:lang w:eastAsia="en-GB"/>
        </w:rPr>
      </w:pPr>
      <w:r w:rsidRPr="00AB641E">
        <w:rPr>
          <w:rFonts w:eastAsia="Times New Roman" w:cs="Segoe UI"/>
          <w:szCs w:val="22"/>
          <w:lang w:eastAsia="en-GB"/>
        </w:rPr>
        <w:t xml:space="preserve">NQSWs will be given a protected caseload which reflects the level of professional development and an increasing competence and confidence in the role and responsibilities during this period.  </w:t>
      </w:r>
    </w:p>
    <w:p w14:paraId="525719DB" w14:textId="77777777" w:rsidR="00AB641E" w:rsidRPr="00AB641E" w:rsidRDefault="00AB641E" w:rsidP="00AB641E">
      <w:pPr>
        <w:spacing w:line="276" w:lineRule="auto"/>
        <w:textAlignment w:val="baseline"/>
        <w:rPr>
          <w:rFonts w:eastAsia="Times New Roman" w:cs="Segoe UI"/>
          <w:szCs w:val="22"/>
          <w:lang w:eastAsia="en-GB"/>
        </w:rPr>
      </w:pPr>
    </w:p>
    <w:p w14:paraId="7287C664" w14:textId="5FAD5C40" w:rsidR="00AB641E" w:rsidRPr="00AB641E" w:rsidRDefault="00AB641E" w:rsidP="00AB641E">
      <w:pPr>
        <w:spacing w:line="276" w:lineRule="auto"/>
        <w:textAlignment w:val="baseline"/>
        <w:rPr>
          <w:rFonts w:eastAsia="Times New Roman" w:cs="Segoe UI"/>
          <w:szCs w:val="22"/>
          <w:lang w:eastAsia="en-GB"/>
        </w:rPr>
      </w:pPr>
      <w:r w:rsidRPr="00AB641E">
        <w:rPr>
          <w:rFonts w:eastAsia="Times New Roman" w:cs="Segoe UI"/>
          <w:szCs w:val="22"/>
          <w:lang w:eastAsia="en-GB"/>
        </w:rPr>
        <w:t>Overall workloads will also include protected learning time and time for supervision in line with the requirements of the supported year. This time will equate to approximately 10% of the NQSWs work time and must be factored into caseload allocation</w:t>
      </w:r>
      <w:r w:rsidRPr="00AB641E">
        <w:rPr>
          <w:rFonts w:eastAsia="Times New Roman" w:cs="Segoe UI"/>
          <w:szCs w:val="22"/>
          <w:vertAlign w:val="superscript"/>
          <w:lang w:eastAsia="en-GB"/>
        </w:rPr>
        <w:footnoteReference w:id="4"/>
      </w:r>
      <w:r w:rsidRPr="00AB641E">
        <w:rPr>
          <w:rFonts w:eastAsia="Times New Roman" w:cs="Segoe UI"/>
          <w:szCs w:val="22"/>
          <w:lang w:eastAsia="en-GB"/>
        </w:rPr>
        <w:t xml:space="preserve">.  </w:t>
      </w:r>
    </w:p>
    <w:p w14:paraId="5DD2D061" w14:textId="77777777" w:rsidR="00AB641E" w:rsidRPr="00AB641E" w:rsidRDefault="00AB641E" w:rsidP="00AB641E">
      <w:pPr>
        <w:spacing w:line="276" w:lineRule="auto"/>
        <w:textAlignment w:val="baseline"/>
        <w:rPr>
          <w:rFonts w:eastAsia="Times New Roman" w:cs="Segoe UI"/>
          <w:szCs w:val="22"/>
          <w:lang w:eastAsia="en-GB"/>
        </w:rPr>
      </w:pPr>
    </w:p>
    <w:p w14:paraId="7B91025C" w14:textId="18B8FD29" w:rsidR="00AB641E" w:rsidRPr="00AB641E" w:rsidRDefault="00AB641E" w:rsidP="00AB641E">
      <w:pPr>
        <w:spacing w:line="276" w:lineRule="auto"/>
        <w:textAlignment w:val="baseline"/>
        <w:rPr>
          <w:rFonts w:eastAsia="Times New Roman" w:cs="Segoe UI"/>
          <w:szCs w:val="22"/>
          <w:lang w:eastAsia="en-GB"/>
        </w:rPr>
      </w:pPr>
      <w:r w:rsidRPr="00AB641E">
        <w:rPr>
          <w:rFonts w:eastAsia="Times New Roman" w:cs="Segoe UI"/>
          <w:szCs w:val="22"/>
          <w:lang w:eastAsia="en-GB"/>
        </w:rPr>
        <w:t xml:space="preserve">It is vital that NQSW do not have excessive or overly complex caseloads. In particular, they will not ordinarily be undertaking a lead role in child protection or adult support and protection investigations. </w:t>
      </w:r>
    </w:p>
    <w:p w14:paraId="05147D8F" w14:textId="77777777" w:rsidR="00AB641E" w:rsidRPr="00AB641E" w:rsidRDefault="00AB641E" w:rsidP="00AB641E">
      <w:pPr>
        <w:spacing w:line="276" w:lineRule="auto"/>
        <w:textAlignment w:val="baseline"/>
        <w:rPr>
          <w:rFonts w:eastAsia="Times New Roman" w:cs="Segoe UI"/>
          <w:szCs w:val="22"/>
          <w:lang w:eastAsia="en-GB"/>
        </w:rPr>
      </w:pPr>
    </w:p>
    <w:p w14:paraId="683B4418" w14:textId="0BD4D5AE" w:rsidR="00AB641E" w:rsidRPr="00AB641E" w:rsidRDefault="00AB641E" w:rsidP="00AB641E">
      <w:pPr>
        <w:spacing w:line="276" w:lineRule="auto"/>
        <w:textAlignment w:val="baseline"/>
        <w:rPr>
          <w:rFonts w:eastAsia="Times New Roman" w:cs="Segoe UI"/>
          <w:szCs w:val="22"/>
          <w:lang w:eastAsia="en-GB"/>
        </w:rPr>
      </w:pPr>
      <w:r w:rsidRPr="00AB641E">
        <w:rPr>
          <w:rFonts w:eastAsia="Times New Roman" w:cs="Segoe UI"/>
          <w:szCs w:val="22"/>
          <w:lang w:eastAsia="en-GB"/>
        </w:rPr>
        <w:t xml:space="preserve">Given the diversity of services that NQSWs might be employed in, defining the appropriate parameters and levels of work for allocation to NQSWs will vary within and across organisations. Having an appropriate workload management system in place, informed by the professional judgment of line managers or supervisors and regularly reviewing this will provide employers and supervisors with a process to determine the proper workload distribution for staff including NQSWs and the resources </w:t>
      </w:r>
      <w:r w:rsidRPr="00AB641E">
        <w:rPr>
          <w:rFonts w:eastAsiaTheme="minorHAnsi" w:cs="SPYWZ B+ Swiss 721 BT"/>
          <w:color w:val="000000"/>
          <w:szCs w:val="22"/>
        </w:rPr>
        <w:t>they require to enable them to undertake their work role safely and effectively.</w:t>
      </w:r>
    </w:p>
    <w:p w14:paraId="44B0413B" w14:textId="77777777" w:rsidR="00AB641E" w:rsidRPr="00AB641E" w:rsidRDefault="00AB641E" w:rsidP="00AB641E">
      <w:pPr>
        <w:spacing w:line="276" w:lineRule="auto"/>
        <w:textAlignment w:val="baseline"/>
        <w:rPr>
          <w:rFonts w:eastAsia="Calibri" w:cs="Times New Roman"/>
          <w:b/>
          <w:bCs/>
          <w:szCs w:val="22"/>
        </w:rPr>
      </w:pPr>
    </w:p>
    <w:p w14:paraId="38C35F95" w14:textId="41279199" w:rsidR="00AB641E" w:rsidRDefault="00AB641E" w:rsidP="00AB641E">
      <w:pPr>
        <w:spacing w:line="276" w:lineRule="auto"/>
        <w:textAlignment w:val="baseline"/>
        <w:rPr>
          <w:rFonts w:eastAsia="Calibri" w:cs="Times New Roman"/>
          <w:b/>
          <w:bCs/>
          <w:szCs w:val="22"/>
        </w:rPr>
      </w:pPr>
      <w:r w:rsidRPr="00AB641E">
        <w:rPr>
          <w:rFonts w:eastAsia="Calibri" w:cs="Times New Roman"/>
          <w:b/>
          <w:bCs/>
          <w:szCs w:val="22"/>
        </w:rPr>
        <w:t xml:space="preserve">Protected learning time </w:t>
      </w:r>
    </w:p>
    <w:p w14:paraId="26098462" w14:textId="77777777" w:rsidR="005B01BE" w:rsidRPr="00AB641E" w:rsidRDefault="005B01BE" w:rsidP="00AB641E">
      <w:pPr>
        <w:spacing w:line="276" w:lineRule="auto"/>
        <w:textAlignment w:val="baseline"/>
        <w:rPr>
          <w:rFonts w:eastAsia="Calibri" w:cs="Times New Roman"/>
          <w:b/>
          <w:bCs/>
          <w:szCs w:val="22"/>
        </w:rPr>
      </w:pPr>
    </w:p>
    <w:p w14:paraId="3A36A73A" w14:textId="77777777" w:rsidR="00AB641E" w:rsidRPr="00AB641E" w:rsidRDefault="00AB641E" w:rsidP="00AB641E">
      <w:pPr>
        <w:spacing w:line="276" w:lineRule="auto"/>
        <w:textAlignment w:val="baseline"/>
        <w:rPr>
          <w:rFonts w:eastAsia="Times New Roman" w:cs="Segoe UI"/>
          <w:szCs w:val="22"/>
          <w:lang w:eastAsia="en-GB"/>
        </w:rPr>
      </w:pPr>
      <w:r w:rsidRPr="00AB641E">
        <w:rPr>
          <w:rFonts w:eastAsia="Times New Roman" w:cs="Segoe UI"/>
          <w:szCs w:val="22"/>
          <w:lang w:eastAsia="en-GB"/>
        </w:rPr>
        <w:t xml:space="preserve">NQSWs will be afforded protected learning and development time in each working week to allow them to fully engage in their identified learning needs as part of the NQSW Supported Year. Their identified learning needs may take </w:t>
      </w:r>
      <w:r w:rsidRPr="00AB641E">
        <w:rPr>
          <w:rFonts w:eastAsia="Times New Roman" w:cs="Segoe UI"/>
          <w:szCs w:val="22"/>
          <w:lang w:eastAsia="en-GB"/>
        </w:rPr>
        <w:lastRenderedPageBreak/>
        <w:t xml:space="preserve">different forms and can be undertaken within or </w:t>
      </w:r>
      <w:proofErr w:type="spellStart"/>
      <w:r w:rsidRPr="00AB641E">
        <w:rPr>
          <w:rFonts w:eastAsia="Times New Roman" w:cs="Segoe UI"/>
          <w:szCs w:val="22"/>
          <w:lang w:eastAsia="en-GB"/>
        </w:rPr>
        <w:t>outwith</w:t>
      </w:r>
      <w:proofErr w:type="spellEnd"/>
      <w:r w:rsidRPr="00AB641E">
        <w:rPr>
          <w:rFonts w:eastAsia="Times New Roman" w:cs="Segoe UI"/>
          <w:szCs w:val="22"/>
          <w:lang w:eastAsia="en-GB"/>
        </w:rPr>
        <w:t xml:space="preserve"> the workplace. The form of the learning time should be developed in collaboration with the NQSW.</w:t>
      </w:r>
    </w:p>
    <w:p w14:paraId="5DBA3C94" w14:textId="77777777" w:rsidR="00AB641E" w:rsidRPr="00AB641E" w:rsidRDefault="00AB641E" w:rsidP="00AB641E">
      <w:pPr>
        <w:spacing w:line="276" w:lineRule="auto"/>
        <w:textAlignment w:val="baseline"/>
        <w:rPr>
          <w:rFonts w:eastAsia="Times New Roman" w:cs="Segoe UI"/>
          <w:szCs w:val="22"/>
          <w:lang w:eastAsia="en-GB"/>
        </w:rPr>
      </w:pPr>
    </w:p>
    <w:p w14:paraId="4CB2D1CE" w14:textId="5628695C" w:rsidR="00AB641E" w:rsidRPr="00AB641E" w:rsidRDefault="00AB641E" w:rsidP="00AB641E">
      <w:pPr>
        <w:spacing w:line="276" w:lineRule="auto"/>
        <w:textAlignment w:val="baseline"/>
        <w:rPr>
          <w:rFonts w:eastAsia="Times New Roman" w:cs="Segoe UI"/>
          <w:szCs w:val="22"/>
          <w:lang w:eastAsia="en-GB"/>
        </w:rPr>
      </w:pPr>
      <w:r w:rsidRPr="00AB641E">
        <w:rPr>
          <w:rFonts w:eastAsia="Times New Roman" w:cs="Segoe UI"/>
          <w:szCs w:val="22"/>
          <w:lang w:eastAsia="en-GB"/>
        </w:rPr>
        <w:t>As a minimum, NQSWs who are working full-time will get the equivalent of ½ day per week protected learning time during the NQSW supported year. This needs to be negotiated clearly as part of caseload management. The pattern of protected learning time will be determined by individual and service needs.</w:t>
      </w:r>
    </w:p>
    <w:p w14:paraId="0327B617" w14:textId="77777777" w:rsidR="00AB641E" w:rsidRPr="00AB641E" w:rsidRDefault="00AB641E" w:rsidP="00AB641E">
      <w:pPr>
        <w:spacing w:line="276" w:lineRule="auto"/>
        <w:textAlignment w:val="baseline"/>
        <w:rPr>
          <w:rFonts w:eastAsia="Times New Roman" w:cs="Segoe UI"/>
          <w:szCs w:val="22"/>
          <w:lang w:eastAsia="en-GB"/>
        </w:rPr>
      </w:pPr>
    </w:p>
    <w:p w14:paraId="25813333" w14:textId="675ECC61" w:rsidR="00AB641E" w:rsidRDefault="00AB641E" w:rsidP="00AB641E">
      <w:pPr>
        <w:spacing w:line="276" w:lineRule="auto"/>
        <w:textAlignment w:val="baseline"/>
        <w:rPr>
          <w:rFonts w:eastAsia="Calibri" w:cs="Times New Roman"/>
          <w:b/>
          <w:bCs/>
          <w:szCs w:val="22"/>
        </w:rPr>
      </w:pPr>
      <w:r w:rsidRPr="00AB641E">
        <w:rPr>
          <w:rFonts w:eastAsia="Calibri" w:cs="Times New Roman"/>
          <w:b/>
          <w:bCs/>
          <w:szCs w:val="22"/>
        </w:rPr>
        <w:t xml:space="preserve">Peer Support and mentoring </w:t>
      </w:r>
    </w:p>
    <w:p w14:paraId="3AD39CE6" w14:textId="77777777" w:rsidR="005B01BE" w:rsidRPr="00AB641E" w:rsidRDefault="005B01BE" w:rsidP="00AB641E">
      <w:pPr>
        <w:spacing w:line="276" w:lineRule="auto"/>
        <w:textAlignment w:val="baseline"/>
        <w:rPr>
          <w:rFonts w:eastAsia="Calibri" w:cs="Times New Roman"/>
          <w:b/>
          <w:bCs/>
          <w:szCs w:val="22"/>
        </w:rPr>
      </w:pPr>
    </w:p>
    <w:p w14:paraId="6895F0C3" w14:textId="63370077" w:rsidR="00AB641E" w:rsidRPr="00AB641E" w:rsidRDefault="00AB641E" w:rsidP="00AB641E">
      <w:pPr>
        <w:spacing w:line="276" w:lineRule="auto"/>
        <w:textAlignment w:val="baseline"/>
        <w:rPr>
          <w:rFonts w:eastAsia="Calibri" w:cs="Times New Roman"/>
          <w:szCs w:val="22"/>
        </w:rPr>
      </w:pPr>
      <w:r w:rsidRPr="00AB641E">
        <w:rPr>
          <w:rFonts w:eastAsiaTheme="minorHAnsi"/>
          <w:szCs w:val="22"/>
        </w:rPr>
        <w:t xml:space="preserve">Peer support has been consistently identified as one of the most significant sources of support for NQSWs. </w:t>
      </w:r>
      <w:r w:rsidRPr="00AB641E">
        <w:rPr>
          <w:rFonts w:eastAsia="Calibri" w:cs="Times New Roman"/>
          <w:szCs w:val="22"/>
        </w:rPr>
        <w:t xml:space="preserve">Employers and supervisors will make arrangements for formal peer support for an NQSW with an identified peer.  They will also encourage a culture of wider informal peer and colleague support.  </w:t>
      </w:r>
    </w:p>
    <w:p w14:paraId="5B425363" w14:textId="77777777" w:rsidR="00AB641E" w:rsidRPr="00AB641E" w:rsidRDefault="00AB641E" w:rsidP="00AB641E">
      <w:pPr>
        <w:spacing w:line="276" w:lineRule="auto"/>
        <w:textAlignment w:val="baseline"/>
        <w:rPr>
          <w:rFonts w:eastAsia="Calibri" w:cs="Times New Roman"/>
          <w:szCs w:val="22"/>
        </w:rPr>
      </w:pPr>
    </w:p>
    <w:p w14:paraId="1A85E20C" w14:textId="5019B80F" w:rsidR="00AB641E" w:rsidRPr="00AB641E" w:rsidRDefault="00AB641E" w:rsidP="00AB641E">
      <w:pPr>
        <w:spacing w:line="276" w:lineRule="auto"/>
        <w:textAlignment w:val="baseline"/>
        <w:rPr>
          <w:rFonts w:eastAsia="Calibri" w:cs="Times New Roman"/>
          <w:szCs w:val="22"/>
        </w:rPr>
      </w:pPr>
      <w:r w:rsidRPr="00AB641E">
        <w:rPr>
          <w:rFonts w:eastAsia="Calibri" w:cs="Times New Roman"/>
          <w:szCs w:val="22"/>
        </w:rPr>
        <w:t>NQSWs can learn informally from colleagues and peers through offers such as shadowing, informal debrief or general assimilation of the ethos and culture of an individual or wider team. They also have a valuable contribution to make to the learning of others through the exchange of knowledge.</w:t>
      </w:r>
    </w:p>
    <w:p w14:paraId="1D3D9B1D" w14:textId="77777777" w:rsidR="00AB641E" w:rsidRPr="00AB641E" w:rsidRDefault="00AB641E" w:rsidP="00AB641E">
      <w:pPr>
        <w:spacing w:line="276" w:lineRule="auto"/>
        <w:textAlignment w:val="baseline"/>
        <w:rPr>
          <w:rFonts w:eastAsia="Calibri" w:cs="Times New Roman"/>
          <w:b/>
          <w:bCs/>
          <w:szCs w:val="22"/>
        </w:rPr>
      </w:pPr>
    </w:p>
    <w:p w14:paraId="5F745637" w14:textId="59AEEEE3" w:rsidR="00AB641E" w:rsidRPr="00AB641E" w:rsidRDefault="00AB641E" w:rsidP="00AB641E">
      <w:pPr>
        <w:spacing w:line="276" w:lineRule="auto"/>
        <w:textAlignment w:val="baseline"/>
        <w:rPr>
          <w:rFonts w:eastAsia="Calibri" w:cs="Times New Roman"/>
          <w:szCs w:val="22"/>
        </w:rPr>
      </w:pPr>
      <w:r w:rsidRPr="00AB641E">
        <w:rPr>
          <w:rFonts w:eastAsia="Calibri" w:cs="Times New Roman"/>
          <w:szCs w:val="22"/>
        </w:rPr>
        <w:t xml:space="preserve">Where employers have an existing mentoring scheme, NQSWs may benefit from provision of mentoring during the NQSW supported year. Mentoring provides opportunities to discuss work-related issues and generate possible solutions to challenges. There are several definitions of mentoring, many evolving to suit the context and purpose of the individual setting, however, all models will have the mentee firmly at the centre, with reflective practice the cornerstone. If mentoring is used, there needs to be clearly defined roles for the mentor and the supervisor.  </w:t>
      </w:r>
    </w:p>
    <w:p w14:paraId="0D1C5C0B" w14:textId="77777777" w:rsidR="00AB641E" w:rsidRPr="00AB641E" w:rsidRDefault="00AB641E" w:rsidP="00AB641E">
      <w:pPr>
        <w:spacing w:line="276" w:lineRule="auto"/>
        <w:textAlignment w:val="baseline"/>
        <w:rPr>
          <w:rFonts w:eastAsia="Calibri" w:cs="Times New Roman"/>
          <w:szCs w:val="22"/>
        </w:rPr>
      </w:pPr>
    </w:p>
    <w:p w14:paraId="1403C03B" w14:textId="270F4F49" w:rsidR="00AB641E" w:rsidRDefault="00AB641E" w:rsidP="00AB641E">
      <w:pPr>
        <w:spacing w:line="276" w:lineRule="auto"/>
        <w:textAlignment w:val="baseline"/>
        <w:rPr>
          <w:rFonts w:eastAsia="Calibri" w:cs="Times New Roman"/>
          <w:b/>
          <w:bCs/>
          <w:szCs w:val="22"/>
        </w:rPr>
      </w:pPr>
      <w:r w:rsidRPr="00AB641E">
        <w:rPr>
          <w:rFonts w:eastAsia="Calibri" w:cs="Times New Roman"/>
          <w:b/>
          <w:bCs/>
          <w:szCs w:val="22"/>
        </w:rPr>
        <w:t xml:space="preserve">NQSW resources </w:t>
      </w:r>
    </w:p>
    <w:p w14:paraId="11616EAD" w14:textId="77777777" w:rsidR="005B01BE" w:rsidRPr="00AB641E" w:rsidRDefault="005B01BE" w:rsidP="00AB641E">
      <w:pPr>
        <w:spacing w:line="276" w:lineRule="auto"/>
        <w:textAlignment w:val="baseline"/>
        <w:rPr>
          <w:rFonts w:eastAsia="Calibri" w:cs="Times New Roman"/>
          <w:b/>
          <w:bCs/>
          <w:szCs w:val="22"/>
        </w:rPr>
      </w:pPr>
    </w:p>
    <w:p w14:paraId="6EF24DAE" w14:textId="77777777" w:rsidR="00AB641E" w:rsidRPr="00AB641E" w:rsidRDefault="00AB641E" w:rsidP="00AB641E">
      <w:pPr>
        <w:spacing w:line="276" w:lineRule="auto"/>
        <w:textAlignment w:val="baseline"/>
        <w:rPr>
          <w:rFonts w:eastAsia="Segoe UI" w:cs="Segoe UI"/>
          <w:color w:val="000000" w:themeColor="text1"/>
          <w:szCs w:val="22"/>
        </w:rPr>
      </w:pPr>
      <w:r w:rsidRPr="00AB641E">
        <w:rPr>
          <w:rFonts w:eastAsia="Calibri" w:cs="Times New Roman"/>
          <w:szCs w:val="22"/>
        </w:rPr>
        <w:t xml:space="preserve">The dedicated NQSW website is being developed to support NQSWs, line managers and employers with the implementation of the supported year. </w:t>
      </w:r>
      <w:r w:rsidRPr="00AB641E">
        <w:rPr>
          <w:rFonts w:eastAsia="Segoe UI" w:cs="Segoe UI"/>
          <w:color w:val="000000" w:themeColor="text1"/>
          <w:szCs w:val="22"/>
        </w:rPr>
        <w:t xml:space="preserve">This will support consistency for the NQSW supported year.  </w:t>
      </w:r>
    </w:p>
    <w:p w14:paraId="609AF988" w14:textId="77777777" w:rsidR="00AB641E" w:rsidRPr="00AB641E" w:rsidRDefault="00AB641E" w:rsidP="00AB641E">
      <w:pPr>
        <w:spacing w:line="276" w:lineRule="auto"/>
        <w:textAlignment w:val="baseline"/>
        <w:rPr>
          <w:rFonts w:eastAsia="Segoe UI" w:cs="Segoe UI"/>
          <w:color w:val="000000" w:themeColor="text1"/>
          <w:szCs w:val="22"/>
        </w:rPr>
      </w:pPr>
    </w:p>
    <w:p w14:paraId="3463B0D9" w14:textId="736B26A7" w:rsidR="00AB641E" w:rsidRDefault="00AB641E" w:rsidP="00AB641E">
      <w:pPr>
        <w:spacing w:line="276" w:lineRule="auto"/>
        <w:textAlignment w:val="baseline"/>
        <w:rPr>
          <w:rFonts w:eastAsia="Calibri" w:cs="Times New Roman"/>
          <w:szCs w:val="22"/>
        </w:rPr>
      </w:pPr>
      <w:r w:rsidRPr="00AB641E">
        <w:rPr>
          <w:rFonts w:eastAsia="Calibri" w:cs="Times New Roman"/>
          <w:szCs w:val="22"/>
        </w:rPr>
        <w:t>It will provide:</w:t>
      </w:r>
    </w:p>
    <w:p w14:paraId="70B6C67B" w14:textId="77777777" w:rsidR="005B01BE" w:rsidRPr="00AB641E" w:rsidRDefault="005B01BE" w:rsidP="00AB641E">
      <w:pPr>
        <w:spacing w:line="276" w:lineRule="auto"/>
        <w:textAlignment w:val="baseline"/>
        <w:rPr>
          <w:rFonts w:eastAsia="Calibri" w:cs="Times New Roman"/>
          <w:szCs w:val="22"/>
        </w:rPr>
      </w:pPr>
    </w:p>
    <w:p w14:paraId="6F843185" w14:textId="2EE95997" w:rsidR="00AB641E" w:rsidRPr="00AB641E" w:rsidRDefault="00AB641E" w:rsidP="00AB641E">
      <w:pPr>
        <w:numPr>
          <w:ilvl w:val="0"/>
          <w:numId w:val="22"/>
        </w:numPr>
        <w:spacing w:after="160" w:line="276" w:lineRule="auto"/>
        <w:contextualSpacing/>
        <w:textAlignment w:val="baseline"/>
        <w:rPr>
          <w:rFonts w:eastAsia="Calibri" w:cs="Times New Roman"/>
          <w:szCs w:val="22"/>
        </w:rPr>
      </w:pPr>
      <w:r w:rsidRPr="00AB641E">
        <w:rPr>
          <w:rFonts w:eastAsia="Calibri" w:cs="Times New Roman"/>
          <w:szCs w:val="22"/>
        </w:rPr>
        <w:t>details of the Standards and requirements for employers and NQSWs</w:t>
      </w:r>
    </w:p>
    <w:p w14:paraId="3D6CC077" w14:textId="491EC7E7" w:rsidR="00AB641E" w:rsidRPr="00AB641E" w:rsidRDefault="00AB641E" w:rsidP="00AB641E">
      <w:pPr>
        <w:numPr>
          <w:ilvl w:val="0"/>
          <w:numId w:val="22"/>
        </w:numPr>
        <w:spacing w:after="160" w:line="276" w:lineRule="auto"/>
        <w:contextualSpacing/>
        <w:textAlignment w:val="baseline"/>
        <w:rPr>
          <w:rFonts w:eastAsia="Calibri" w:cs="Times New Roman"/>
          <w:szCs w:val="22"/>
        </w:rPr>
      </w:pPr>
      <w:r w:rsidRPr="00AB641E">
        <w:rPr>
          <w:rFonts w:eastAsia="Calibri" w:cs="Times New Roman"/>
          <w:szCs w:val="22"/>
        </w:rPr>
        <w:t>information and resources for employers, NQSWs, line managers and supervisors</w:t>
      </w:r>
    </w:p>
    <w:p w14:paraId="10206688" w14:textId="3CE7BEC9" w:rsidR="00AB641E" w:rsidRPr="00AB641E" w:rsidRDefault="00AB641E" w:rsidP="00AB641E">
      <w:pPr>
        <w:numPr>
          <w:ilvl w:val="0"/>
          <w:numId w:val="22"/>
        </w:numPr>
        <w:spacing w:after="160" w:line="276" w:lineRule="auto"/>
        <w:contextualSpacing/>
        <w:textAlignment w:val="baseline"/>
        <w:rPr>
          <w:rFonts w:eastAsia="Calibri" w:cs="Times New Roman"/>
          <w:szCs w:val="22"/>
        </w:rPr>
      </w:pPr>
      <w:r w:rsidRPr="00AB641E">
        <w:rPr>
          <w:rFonts w:eastAsia="Calibri" w:cs="Times New Roman"/>
          <w:szCs w:val="22"/>
        </w:rPr>
        <w:t>support for effective transitions from student to NQSW</w:t>
      </w:r>
    </w:p>
    <w:p w14:paraId="460A25F4" w14:textId="218F0501" w:rsidR="00AB641E" w:rsidRPr="00AB641E" w:rsidRDefault="00AB641E" w:rsidP="00AB641E">
      <w:pPr>
        <w:numPr>
          <w:ilvl w:val="0"/>
          <w:numId w:val="22"/>
        </w:numPr>
        <w:spacing w:after="160" w:line="276" w:lineRule="auto"/>
        <w:contextualSpacing/>
        <w:textAlignment w:val="baseline"/>
        <w:rPr>
          <w:rFonts w:eastAsia="Calibri" w:cs="Times New Roman"/>
          <w:szCs w:val="22"/>
        </w:rPr>
      </w:pPr>
      <w:r w:rsidRPr="00AB641E">
        <w:rPr>
          <w:rFonts w:eastAsia="Calibri" w:cs="Times New Roman"/>
          <w:szCs w:val="22"/>
        </w:rPr>
        <w:t xml:space="preserve">a suite of materials to support effective professional </w:t>
      </w:r>
      <w:proofErr w:type="gramStart"/>
      <w:r w:rsidRPr="00AB641E">
        <w:rPr>
          <w:rFonts w:eastAsia="Calibri" w:cs="Times New Roman"/>
          <w:szCs w:val="22"/>
        </w:rPr>
        <w:t>supervision</w:t>
      </w:r>
      <w:proofErr w:type="gramEnd"/>
    </w:p>
    <w:p w14:paraId="0E5EE479" w14:textId="05F4FEA5" w:rsidR="00AB641E" w:rsidRPr="00AB641E" w:rsidRDefault="00AB641E" w:rsidP="00AB641E">
      <w:pPr>
        <w:numPr>
          <w:ilvl w:val="0"/>
          <w:numId w:val="22"/>
        </w:numPr>
        <w:spacing w:after="160" w:line="276" w:lineRule="auto"/>
        <w:contextualSpacing/>
        <w:textAlignment w:val="baseline"/>
        <w:rPr>
          <w:rFonts w:eastAsia="Calibri" w:cs="Times New Roman"/>
          <w:szCs w:val="22"/>
        </w:rPr>
      </w:pPr>
      <w:r w:rsidRPr="00AB641E">
        <w:rPr>
          <w:rFonts w:eastAsia="Calibri" w:cs="Times New Roman"/>
          <w:szCs w:val="22"/>
        </w:rPr>
        <w:t>learning resources which span the key areas and characteristics of NQSW practice</w:t>
      </w:r>
      <w:r w:rsidR="005B01BE">
        <w:rPr>
          <w:rFonts w:eastAsia="Calibri" w:cs="Times New Roman"/>
          <w:szCs w:val="22"/>
        </w:rPr>
        <w:t>,</w:t>
      </w:r>
      <w:r w:rsidRPr="00AB641E">
        <w:rPr>
          <w:rFonts w:eastAsia="Calibri" w:cs="Times New Roman"/>
          <w:szCs w:val="22"/>
        </w:rPr>
        <w:t xml:space="preserve"> and</w:t>
      </w:r>
    </w:p>
    <w:p w14:paraId="696FBFD6" w14:textId="77777777" w:rsidR="00AB641E" w:rsidRPr="00AB641E" w:rsidRDefault="00AB641E" w:rsidP="00AB641E">
      <w:pPr>
        <w:numPr>
          <w:ilvl w:val="0"/>
          <w:numId w:val="22"/>
        </w:numPr>
        <w:spacing w:after="160" w:line="276" w:lineRule="auto"/>
        <w:contextualSpacing/>
        <w:textAlignment w:val="baseline"/>
        <w:rPr>
          <w:rFonts w:eastAsia="Calibri" w:cs="Times New Roman"/>
          <w:szCs w:val="22"/>
        </w:rPr>
      </w:pPr>
      <w:r w:rsidRPr="00AB641E">
        <w:rPr>
          <w:rFonts w:eastAsia="Calibri" w:cs="Times New Roman"/>
          <w:szCs w:val="22"/>
        </w:rPr>
        <w:t>clear signposts to existing national resources.</w:t>
      </w:r>
    </w:p>
    <w:p w14:paraId="2CFD260D" w14:textId="75D9E8B3" w:rsidR="00266FC7" w:rsidRPr="00266FC7" w:rsidRDefault="00D76FCB" w:rsidP="00266FC7">
      <w:pPr>
        <w:pStyle w:val="Heading1"/>
        <w:rPr>
          <w:rFonts w:ascii="Verdana" w:hAnsi="Verdana"/>
          <w:b/>
          <w:bCs/>
          <w:color w:val="00498F"/>
          <w:lang w:val="en"/>
        </w:rPr>
      </w:pPr>
      <w:bookmarkStart w:id="5" w:name="_Toc72516746"/>
      <w:r w:rsidRPr="00076756">
        <w:rPr>
          <w:rFonts w:ascii="Verdana" w:hAnsi="Verdana"/>
          <w:b/>
          <w:bCs/>
          <w:color w:val="00498F"/>
          <w:sz w:val="28"/>
          <w:szCs w:val="28"/>
        </w:rPr>
        <w:lastRenderedPageBreak/>
        <w:t>A</w:t>
      </w:r>
      <w:r w:rsidR="00FF4724">
        <w:rPr>
          <w:rFonts w:ascii="Verdana" w:hAnsi="Verdana"/>
          <w:b/>
          <w:bCs/>
          <w:color w:val="00498F"/>
          <w:sz w:val="28"/>
          <w:szCs w:val="28"/>
        </w:rPr>
        <w:t>ppendix 1</w:t>
      </w:r>
      <w:r w:rsidR="00266FC7">
        <w:rPr>
          <w:rFonts w:ascii="Verdana" w:hAnsi="Verdana"/>
          <w:b/>
          <w:bCs/>
          <w:color w:val="00498F"/>
          <w:sz w:val="28"/>
          <w:szCs w:val="28"/>
        </w:rPr>
        <w:t>.</w:t>
      </w:r>
      <w:r w:rsidR="00FF4724">
        <w:rPr>
          <w:rFonts w:ascii="Verdana" w:hAnsi="Verdana"/>
          <w:b/>
          <w:bCs/>
          <w:color w:val="00498F"/>
          <w:sz w:val="28"/>
          <w:szCs w:val="28"/>
        </w:rPr>
        <w:t xml:space="preserve"> </w:t>
      </w:r>
      <w:r w:rsidR="00266FC7" w:rsidRPr="00266FC7">
        <w:rPr>
          <w:rFonts w:ascii="Verdana" w:hAnsi="Verdana"/>
          <w:b/>
          <w:bCs/>
          <w:color w:val="00498F"/>
          <w:sz w:val="28"/>
          <w:szCs w:val="28"/>
          <w:lang w:val="en"/>
        </w:rPr>
        <w:t>Newly qualified social worker (NQSW) standards – early implementation version</w:t>
      </w:r>
      <w:bookmarkEnd w:id="5"/>
    </w:p>
    <w:p w14:paraId="06A97CF8" w14:textId="77777777" w:rsidR="00266FC7" w:rsidRPr="00266FC7" w:rsidRDefault="00266FC7" w:rsidP="00266FC7">
      <w:pPr>
        <w:spacing w:after="160" w:line="259" w:lineRule="auto"/>
        <w:rPr>
          <w:rFonts w:eastAsiaTheme="minorHAnsi"/>
          <w:szCs w:val="22"/>
          <w:lang w:val="en"/>
        </w:rPr>
      </w:pPr>
    </w:p>
    <w:tbl>
      <w:tblPr>
        <w:tblStyle w:val="TableGrid1"/>
        <w:tblW w:w="9016" w:type="dxa"/>
        <w:tblLook w:val="04A0" w:firstRow="1" w:lastRow="0" w:firstColumn="1" w:lastColumn="0" w:noHBand="0" w:noVBand="1"/>
      </w:tblPr>
      <w:tblGrid>
        <w:gridCol w:w="1596"/>
        <w:gridCol w:w="7420"/>
      </w:tblGrid>
      <w:tr w:rsidR="00266FC7" w:rsidRPr="00266FC7" w14:paraId="062E0053" w14:textId="77777777" w:rsidTr="005D0134">
        <w:tc>
          <w:tcPr>
            <w:tcW w:w="1596" w:type="dxa"/>
          </w:tcPr>
          <w:p w14:paraId="2F2BEB12" w14:textId="77777777" w:rsidR="00266FC7" w:rsidRPr="00266FC7" w:rsidRDefault="00266FC7" w:rsidP="00266FC7">
            <w:pPr>
              <w:ind w:left="720"/>
              <w:contextualSpacing/>
              <w:rPr>
                <w:rFonts w:eastAsiaTheme="minorHAnsi" w:cs="Arial"/>
                <w:szCs w:val="22"/>
                <w:lang w:val="en"/>
              </w:rPr>
            </w:pPr>
            <w:r w:rsidRPr="00266FC7">
              <w:rPr>
                <w:rFonts w:eastAsiaTheme="minorHAnsi"/>
                <w:b/>
                <w:bCs/>
                <w:noProof/>
                <w:color w:val="000000" w:themeColor="text1"/>
                <w:szCs w:val="22"/>
              </w:rPr>
              <w:drawing>
                <wp:anchor distT="0" distB="0" distL="114300" distR="114300" simplePos="0" relativeHeight="251659264" behindDoc="0" locked="0" layoutInCell="1" allowOverlap="1" wp14:anchorId="7C463EA7" wp14:editId="2DDE89A6">
                  <wp:simplePos x="0" y="0"/>
                  <wp:positionH relativeFrom="margin">
                    <wp:posOffset>-13970</wp:posOffset>
                  </wp:positionH>
                  <wp:positionV relativeFrom="margin">
                    <wp:posOffset>144145</wp:posOffset>
                  </wp:positionV>
                  <wp:extent cx="868680" cy="866664"/>
                  <wp:effectExtent l="0" t="0" r="762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68680" cy="866664"/>
                          </a:xfrm>
                          <a:prstGeom prst="rect">
                            <a:avLst/>
                          </a:prstGeom>
                        </pic:spPr>
                      </pic:pic>
                    </a:graphicData>
                  </a:graphic>
                  <wp14:sizeRelV relativeFrom="margin">
                    <wp14:pctHeight>0</wp14:pctHeight>
                  </wp14:sizeRelV>
                </wp:anchor>
              </w:drawing>
            </w:r>
          </w:p>
        </w:tc>
        <w:tc>
          <w:tcPr>
            <w:tcW w:w="7420" w:type="dxa"/>
          </w:tcPr>
          <w:p w14:paraId="42E5D520" w14:textId="77777777" w:rsidR="00266FC7" w:rsidRPr="00266FC7" w:rsidRDefault="00266FC7" w:rsidP="00266FC7">
            <w:pPr>
              <w:rPr>
                <w:rFonts w:eastAsiaTheme="minorHAnsi" w:cs="Arial"/>
                <w:szCs w:val="22"/>
                <w:lang w:val="en"/>
              </w:rPr>
            </w:pPr>
            <w:r w:rsidRPr="00266FC7">
              <w:rPr>
                <w:rFonts w:eastAsiaTheme="minorHAnsi" w:cs="Arial"/>
                <w:b/>
                <w:bCs/>
                <w:szCs w:val="22"/>
                <w:lang w:val="en"/>
              </w:rPr>
              <w:t>Ethics, values and rights-based practice</w:t>
            </w:r>
            <w:r w:rsidRPr="00266FC7">
              <w:rPr>
                <w:rFonts w:eastAsiaTheme="minorHAnsi" w:cs="Arial"/>
                <w:szCs w:val="22"/>
                <w:lang w:val="en"/>
              </w:rPr>
              <w:t xml:space="preserve"> – develop an understanding of and apply ethical principles and values to all aspects of professional practice.  </w:t>
            </w:r>
            <w:proofErr w:type="spellStart"/>
            <w:r w:rsidRPr="00266FC7">
              <w:rPr>
                <w:rFonts w:eastAsiaTheme="minorHAnsi" w:cs="Arial"/>
                <w:szCs w:val="22"/>
                <w:lang w:val="en"/>
              </w:rPr>
              <w:t>Recognise</w:t>
            </w:r>
            <w:proofErr w:type="spellEnd"/>
            <w:r w:rsidRPr="00266FC7">
              <w:rPr>
                <w:rFonts w:eastAsiaTheme="minorHAnsi" w:cs="Arial"/>
                <w:szCs w:val="22"/>
                <w:lang w:val="en"/>
              </w:rPr>
              <w:t xml:space="preserve"> sources of social inequality</w:t>
            </w:r>
            <w:r w:rsidRPr="00266FC7">
              <w:rPr>
                <w:rFonts w:eastAsiaTheme="minorHAnsi"/>
                <w:szCs w:val="22"/>
              </w:rPr>
              <w:t xml:space="preserve"> and</w:t>
            </w:r>
            <w:r w:rsidRPr="00266FC7">
              <w:rPr>
                <w:rFonts w:eastAsiaTheme="minorHAnsi" w:cs="Arial"/>
                <w:szCs w:val="22"/>
                <w:lang w:val="en"/>
              </w:rPr>
              <w:t xml:space="preserve"> take action to protect and advocate for human rights and social justice.</w:t>
            </w:r>
          </w:p>
        </w:tc>
      </w:tr>
      <w:tr w:rsidR="00266FC7" w:rsidRPr="00266FC7" w14:paraId="435C7ABE" w14:textId="77777777" w:rsidTr="005D0134">
        <w:tc>
          <w:tcPr>
            <w:tcW w:w="1596" w:type="dxa"/>
          </w:tcPr>
          <w:p w14:paraId="2DCF1F82" w14:textId="77777777" w:rsidR="00266FC7" w:rsidRPr="00266FC7" w:rsidRDefault="00266FC7" w:rsidP="00266FC7">
            <w:pPr>
              <w:rPr>
                <w:rFonts w:eastAsiaTheme="minorHAnsi" w:cs="Arial"/>
                <w:szCs w:val="22"/>
                <w:lang w:val="en"/>
              </w:rPr>
            </w:pPr>
            <w:r w:rsidRPr="00266FC7">
              <w:rPr>
                <w:rFonts w:eastAsiaTheme="minorHAnsi"/>
                <w:b/>
                <w:bCs/>
                <w:noProof/>
                <w:color w:val="000000" w:themeColor="text1"/>
                <w:szCs w:val="22"/>
              </w:rPr>
              <w:drawing>
                <wp:anchor distT="0" distB="0" distL="114300" distR="114300" simplePos="0" relativeHeight="251660288" behindDoc="0" locked="0" layoutInCell="1" allowOverlap="1" wp14:anchorId="4D537E3E" wp14:editId="171F01AB">
                  <wp:simplePos x="0" y="0"/>
                  <wp:positionH relativeFrom="margin">
                    <wp:posOffset>-6350</wp:posOffset>
                  </wp:positionH>
                  <wp:positionV relativeFrom="margin">
                    <wp:posOffset>174625</wp:posOffset>
                  </wp:positionV>
                  <wp:extent cx="867600" cy="865587"/>
                  <wp:effectExtent l="0" t="0" r="8890" b="0"/>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67600" cy="865587"/>
                          </a:xfrm>
                          <a:prstGeom prst="rect">
                            <a:avLst/>
                          </a:prstGeom>
                        </pic:spPr>
                      </pic:pic>
                    </a:graphicData>
                  </a:graphic>
                </wp:anchor>
              </w:drawing>
            </w:r>
          </w:p>
        </w:tc>
        <w:tc>
          <w:tcPr>
            <w:tcW w:w="7420" w:type="dxa"/>
          </w:tcPr>
          <w:p w14:paraId="7DF89045" w14:textId="77777777" w:rsidR="00266FC7" w:rsidRPr="00266FC7" w:rsidRDefault="00266FC7" w:rsidP="00266FC7">
            <w:pPr>
              <w:rPr>
                <w:rFonts w:eastAsiaTheme="minorHAnsi"/>
                <w:szCs w:val="22"/>
              </w:rPr>
            </w:pPr>
            <w:r w:rsidRPr="00266FC7">
              <w:rPr>
                <w:rFonts w:eastAsiaTheme="minorHAnsi"/>
                <w:b/>
                <w:bCs/>
                <w:color w:val="000000" w:themeColor="text1"/>
                <w:szCs w:val="22"/>
              </w:rPr>
              <w:t xml:space="preserve">Communication, engagement and relationship-based professional practice – </w:t>
            </w:r>
            <w:r w:rsidRPr="00266FC7">
              <w:rPr>
                <w:rFonts w:eastAsiaTheme="minorHAnsi"/>
                <w:color w:val="000000" w:themeColor="text1"/>
                <w:szCs w:val="22"/>
              </w:rPr>
              <w:t>demonstrate knowledge and skills to support effective communication, collaboration and relationship-based practice in a range of settings.</w:t>
            </w:r>
            <w:r w:rsidRPr="00266FC7">
              <w:rPr>
                <w:rFonts w:eastAsiaTheme="minorHAnsi"/>
                <w:szCs w:val="22"/>
              </w:rPr>
              <w:t xml:space="preserve"> Actively involve and support the involvement of people receiving services, their families and carers to plan, implement and evaluate interventions.  </w:t>
            </w:r>
          </w:p>
          <w:p w14:paraId="43C3A34C" w14:textId="77777777" w:rsidR="00266FC7" w:rsidRPr="00266FC7" w:rsidRDefault="00266FC7" w:rsidP="00266FC7">
            <w:pPr>
              <w:rPr>
                <w:rFonts w:eastAsiaTheme="minorHAnsi" w:cs="Arial"/>
                <w:szCs w:val="22"/>
                <w:lang w:val="en"/>
              </w:rPr>
            </w:pPr>
          </w:p>
        </w:tc>
      </w:tr>
      <w:tr w:rsidR="00266FC7" w:rsidRPr="00266FC7" w14:paraId="0E505095" w14:textId="77777777" w:rsidTr="005D0134">
        <w:tc>
          <w:tcPr>
            <w:tcW w:w="1596" w:type="dxa"/>
          </w:tcPr>
          <w:p w14:paraId="4DDDA696" w14:textId="77777777" w:rsidR="00266FC7" w:rsidRPr="00266FC7" w:rsidRDefault="00266FC7" w:rsidP="00266FC7">
            <w:pPr>
              <w:rPr>
                <w:rFonts w:eastAsiaTheme="minorHAnsi" w:cs="Arial"/>
                <w:szCs w:val="22"/>
                <w:lang w:val="en"/>
              </w:rPr>
            </w:pPr>
            <w:r w:rsidRPr="00266FC7">
              <w:rPr>
                <w:rFonts w:eastAsiaTheme="minorHAnsi"/>
                <w:b/>
                <w:noProof/>
                <w:color w:val="000000" w:themeColor="text1"/>
                <w:szCs w:val="22"/>
              </w:rPr>
              <w:drawing>
                <wp:anchor distT="0" distB="0" distL="114300" distR="114300" simplePos="0" relativeHeight="251661312" behindDoc="0" locked="0" layoutInCell="1" allowOverlap="1" wp14:anchorId="1B8FBB3D" wp14:editId="740EDCE3">
                  <wp:simplePos x="0" y="0"/>
                  <wp:positionH relativeFrom="margin">
                    <wp:posOffset>-13970</wp:posOffset>
                  </wp:positionH>
                  <wp:positionV relativeFrom="margin">
                    <wp:posOffset>90170</wp:posOffset>
                  </wp:positionV>
                  <wp:extent cx="866971" cy="864000"/>
                  <wp:effectExtent l="0" t="0" r="0" b="0"/>
                  <wp:wrapSquare wrapText="bothSides"/>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66971" cy="864000"/>
                          </a:xfrm>
                          <a:prstGeom prst="rect">
                            <a:avLst/>
                          </a:prstGeom>
                        </pic:spPr>
                      </pic:pic>
                    </a:graphicData>
                  </a:graphic>
                </wp:anchor>
              </w:drawing>
            </w:r>
          </w:p>
        </w:tc>
        <w:tc>
          <w:tcPr>
            <w:tcW w:w="7420" w:type="dxa"/>
          </w:tcPr>
          <w:p w14:paraId="4B4CA0FB" w14:textId="77777777" w:rsidR="00266FC7" w:rsidRPr="00266FC7" w:rsidRDefault="00266FC7" w:rsidP="00266FC7">
            <w:pPr>
              <w:rPr>
                <w:rFonts w:eastAsiaTheme="minorHAnsi"/>
                <w:bCs/>
                <w:szCs w:val="22"/>
              </w:rPr>
            </w:pPr>
            <w:r w:rsidRPr="00266FC7">
              <w:rPr>
                <w:rFonts w:eastAsiaTheme="minorHAnsi"/>
                <w:b/>
                <w:color w:val="000000" w:themeColor="text1"/>
                <w:szCs w:val="22"/>
              </w:rPr>
              <w:t xml:space="preserve">Critical thinking, professional judgement and decision making - </w:t>
            </w:r>
            <w:r w:rsidRPr="00266FC7">
              <w:rPr>
                <w:rFonts w:eastAsiaTheme="minorHAnsi"/>
                <w:bCs/>
                <w:szCs w:val="22"/>
              </w:rPr>
              <w:t>develop competence and confidence in applying critical thinking, analysis, research, and best practice to inform professional judgement and decision making in all areas of practice including assessment and review.</w:t>
            </w:r>
          </w:p>
          <w:p w14:paraId="55C8AAE1" w14:textId="77777777" w:rsidR="00266FC7" w:rsidRPr="00266FC7" w:rsidRDefault="00266FC7" w:rsidP="00266FC7">
            <w:pPr>
              <w:rPr>
                <w:rFonts w:eastAsiaTheme="minorHAnsi" w:cs="Arial"/>
                <w:szCs w:val="22"/>
                <w:lang w:val="en"/>
              </w:rPr>
            </w:pPr>
          </w:p>
        </w:tc>
      </w:tr>
      <w:tr w:rsidR="00266FC7" w:rsidRPr="00266FC7" w14:paraId="34E76FC4" w14:textId="77777777" w:rsidTr="005D0134">
        <w:tc>
          <w:tcPr>
            <w:tcW w:w="1596" w:type="dxa"/>
          </w:tcPr>
          <w:p w14:paraId="3A302B9C" w14:textId="77777777" w:rsidR="00266FC7" w:rsidRPr="00266FC7" w:rsidRDefault="00266FC7" w:rsidP="00266FC7">
            <w:pPr>
              <w:rPr>
                <w:rFonts w:eastAsiaTheme="minorHAnsi" w:cs="Arial"/>
                <w:szCs w:val="22"/>
                <w:lang w:val="en"/>
              </w:rPr>
            </w:pPr>
            <w:r w:rsidRPr="00266FC7">
              <w:rPr>
                <w:rFonts w:eastAsiaTheme="minorHAnsi"/>
                <w:b/>
                <w:noProof/>
                <w:szCs w:val="22"/>
              </w:rPr>
              <w:drawing>
                <wp:anchor distT="0" distB="0" distL="114300" distR="114300" simplePos="0" relativeHeight="251662336" behindDoc="0" locked="0" layoutInCell="1" allowOverlap="1" wp14:anchorId="793CE679" wp14:editId="3062B375">
                  <wp:simplePos x="0" y="0"/>
                  <wp:positionH relativeFrom="margin">
                    <wp:posOffset>12065</wp:posOffset>
                  </wp:positionH>
                  <wp:positionV relativeFrom="margin">
                    <wp:posOffset>128905</wp:posOffset>
                  </wp:positionV>
                  <wp:extent cx="843280" cy="840740"/>
                  <wp:effectExtent l="0" t="0" r="0" b="0"/>
                  <wp:wrapSquare wrapText="bothSides"/>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43280" cy="840740"/>
                          </a:xfrm>
                          <a:prstGeom prst="rect">
                            <a:avLst/>
                          </a:prstGeom>
                        </pic:spPr>
                      </pic:pic>
                    </a:graphicData>
                  </a:graphic>
                  <wp14:sizeRelH relativeFrom="margin">
                    <wp14:pctWidth>0</wp14:pctWidth>
                  </wp14:sizeRelH>
                  <wp14:sizeRelV relativeFrom="margin">
                    <wp14:pctHeight>0</wp14:pctHeight>
                  </wp14:sizeRelV>
                </wp:anchor>
              </w:drawing>
            </w:r>
          </w:p>
        </w:tc>
        <w:tc>
          <w:tcPr>
            <w:tcW w:w="7420" w:type="dxa"/>
          </w:tcPr>
          <w:p w14:paraId="6505E473" w14:textId="77777777" w:rsidR="00266FC7" w:rsidRPr="00266FC7" w:rsidRDefault="00266FC7" w:rsidP="00266FC7">
            <w:pPr>
              <w:rPr>
                <w:rFonts w:eastAsiaTheme="minorHAnsi"/>
                <w:szCs w:val="22"/>
              </w:rPr>
            </w:pPr>
            <w:r w:rsidRPr="00266FC7">
              <w:rPr>
                <w:rFonts w:eastAsiaTheme="minorHAnsi"/>
                <w:b/>
                <w:szCs w:val="22"/>
              </w:rPr>
              <w:t xml:space="preserve">Promoting wellbeing, support and protection – </w:t>
            </w:r>
            <w:r w:rsidRPr="00266FC7">
              <w:rPr>
                <w:rFonts w:eastAsiaTheme="minorHAnsi"/>
                <w:bCs/>
                <w:szCs w:val="22"/>
              </w:rPr>
              <w:t>demonstrate and apply understanding of responsibility to actively promote the wellbeing, support and protection of children and adults at risk of harm, regardless of setting or context</w:t>
            </w:r>
            <w:r w:rsidRPr="00266FC7">
              <w:rPr>
                <w:rFonts w:eastAsiaTheme="minorHAnsi"/>
                <w:szCs w:val="22"/>
              </w:rPr>
              <w:t>.</w:t>
            </w:r>
          </w:p>
          <w:p w14:paraId="2E19F562" w14:textId="77777777" w:rsidR="00266FC7" w:rsidRPr="00266FC7" w:rsidRDefault="00266FC7" w:rsidP="00266FC7">
            <w:pPr>
              <w:rPr>
                <w:rFonts w:eastAsiaTheme="minorHAnsi" w:cs="Arial"/>
                <w:szCs w:val="22"/>
                <w:lang w:val="en"/>
              </w:rPr>
            </w:pPr>
          </w:p>
        </w:tc>
      </w:tr>
      <w:tr w:rsidR="00266FC7" w:rsidRPr="00266FC7" w14:paraId="61044C96" w14:textId="77777777" w:rsidTr="005D0134">
        <w:tc>
          <w:tcPr>
            <w:tcW w:w="1596" w:type="dxa"/>
          </w:tcPr>
          <w:p w14:paraId="2DB790C4" w14:textId="77777777" w:rsidR="00266FC7" w:rsidRPr="00266FC7" w:rsidRDefault="00266FC7" w:rsidP="00266FC7">
            <w:pPr>
              <w:rPr>
                <w:rFonts w:eastAsiaTheme="minorHAnsi" w:cs="Arial"/>
                <w:szCs w:val="22"/>
                <w:lang w:val="en"/>
              </w:rPr>
            </w:pPr>
            <w:r w:rsidRPr="00266FC7">
              <w:rPr>
                <w:rFonts w:eastAsiaTheme="minorHAnsi"/>
                <w:b/>
                <w:bCs/>
                <w:noProof/>
                <w:color w:val="000000" w:themeColor="text1"/>
                <w:szCs w:val="22"/>
              </w:rPr>
              <w:drawing>
                <wp:anchor distT="0" distB="0" distL="114300" distR="114300" simplePos="0" relativeHeight="251663360" behindDoc="0" locked="0" layoutInCell="1" allowOverlap="1" wp14:anchorId="558B60F3" wp14:editId="5F133520">
                  <wp:simplePos x="0" y="0"/>
                  <wp:positionH relativeFrom="margin">
                    <wp:posOffset>-6350</wp:posOffset>
                  </wp:positionH>
                  <wp:positionV relativeFrom="margin">
                    <wp:posOffset>143510</wp:posOffset>
                  </wp:positionV>
                  <wp:extent cx="867932" cy="864000"/>
                  <wp:effectExtent l="0" t="0" r="8890" b="0"/>
                  <wp:wrapSquare wrapText="bothSides"/>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67932" cy="864000"/>
                          </a:xfrm>
                          <a:prstGeom prst="rect">
                            <a:avLst/>
                          </a:prstGeom>
                        </pic:spPr>
                      </pic:pic>
                    </a:graphicData>
                  </a:graphic>
                </wp:anchor>
              </w:drawing>
            </w:r>
          </w:p>
        </w:tc>
        <w:tc>
          <w:tcPr>
            <w:tcW w:w="7420" w:type="dxa"/>
          </w:tcPr>
          <w:p w14:paraId="76396B84" w14:textId="77777777" w:rsidR="00266FC7" w:rsidRPr="00266FC7" w:rsidRDefault="00266FC7" w:rsidP="00266FC7">
            <w:pPr>
              <w:rPr>
                <w:rFonts w:eastAsiaTheme="minorHAnsi" w:cs="Arial"/>
                <w:szCs w:val="22"/>
                <w:lang w:val="en"/>
              </w:rPr>
            </w:pPr>
            <w:r w:rsidRPr="00266FC7">
              <w:rPr>
                <w:rFonts w:eastAsiaTheme="minorHAnsi" w:cs="Arial"/>
                <w:b/>
                <w:bCs/>
                <w:szCs w:val="22"/>
                <w:lang w:val="en"/>
              </w:rPr>
              <w:t xml:space="preserve">Working with complexity in unpredictable and ambiguous contexts - </w:t>
            </w:r>
            <w:r w:rsidRPr="00266FC7">
              <w:rPr>
                <w:rFonts w:eastAsiaTheme="minorHAnsi" w:cs="Arial"/>
                <w:szCs w:val="22"/>
                <w:lang w:val="en"/>
              </w:rPr>
              <w:t>develop competence and confidence in managing complexity, risk, and uncertainty in professional decision making.</w:t>
            </w:r>
          </w:p>
          <w:p w14:paraId="13DEAFA0" w14:textId="77777777" w:rsidR="00266FC7" w:rsidRPr="00266FC7" w:rsidRDefault="00266FC7" w:rsidP="00266FC7">
            <w:pPr>
              <w:rPr>
                <w:rFonts w:eastAsiaTheme="minorHAnsi" w:cs="Arial"/>
                <w:szCs w:val="22"/>
                <w:lang w:val="en"/>
              </w:rPr>
            </w:pPr>
          </w:p>
        </w:tc>
      </w:tr>
      <w:tr w:rsidR="00266FC7" w:rsidRPr="00266FC7" w14:paraId="145AEF21" w14:textId="77777777" w:rsidTr="005D0134">
        <w:tc>
          <w:tcPr>
            <w:tcW w:w="1596" w:type="dxa"/>
          </w:tcPr>
          <w:p w14:paraId="7CFB10EC" w14:textId="77777777" w:rsidR="00266FC7" w:rsidRPr="00266FC7" w:rsidRDefault="00266FC7" w:rsidP="00266FC7">
            <w:pPr>
              <w:rPr>
                <w:rFonts w:eastAsiaTheme="minorHAnsi" w:cs="Arial"/>
                <w:szCs w:val="22"/>
                <w:lang w:val="en"/>
              </w:rPr>
            </w:pPr>
            <w:r w:rsidRPr="00266FC7">
              <w:rPr>
                <w:rFonts w:eastAsiaTheme="minorHAnsi"/>
                <w:b/>
                <w:bCs/>
                <w:noProof/>
                <w:color w:val="000000" w:themeColor="text1"/>
                <w:szCs w:val="22"/>
              </w:rPr>
              <w:drawing>
                <wp:anchor distT="0" distB="0" distL="114300" distR="114300" simplePos="0" relativeHeight="251664384" behindDoc="0" locked="0" layoutInCell="1" allowOverlap="1" wp14:anchorId="7EE9E736" wp14:editId="6E57F39B">
                  <wp:simplePos x="0" y="0"/>
                  <wp:positionH relativeFrom="margin">
                    <wp:posOffset>3175</wp:posOffset>
                  </wp:positionH>
                  <wp:positionV relativeFrom="margin">
                    <wp:posOffset>106680</wp:posOffset>
                  </wp:positionV>
                  <wp:extent cx="867932" cy="864000"/>
                  <wp:effectExtent l="0" t="0" r="8890" b="0"/>
                  <wp:wrapSquare wrapText="bothSides"/>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67932" cy="864000"/>
                          </a:xfrm>
                          <a:prstGeom prst="rect">
                            <a:avLst/>
                          </a:prstGeom>
                        </pic:spPr>
                      </pic:pic>
                    </a:graphicData>
                  </a:graphic>
                </wp:anchor>
              </w:drawing>
            </w:r>
          </w:p>
        </w:tc>
        <w:tc>
          <w:tcPr>
            <w:tcW w:w="7420" w:type="dxa"/>
          </w:tcPr>
          <w:p w14:paraId="46C5264B" w14:textId="77777777" w:rsidR="00266FC7" w:rsidRPr="00266FC7" w:rsidRDefault="00266FC7" w:rsidP="00266FC7">
            <w:pPr>
              <w:rPr>
                <w:rFonts w:eastAsiaTheme="minorHAnsi" w:cs="Arial"/>
                <w:szCs w:val="22"/>
                <w:lang w:val="en"/>
              </w:rPr>
            </w:pPr>
            <w:r w:rsidRPr="00266FC7">
              <w:rPr>
                <w:rFonts w:eastAsiaTheme="minorHAnsi" w:cs="Arial"/>
                <w:b/>
                <w:bCs/>
                <w:szCs w:val="22"/>
                <w:lang w:val="en"/>
              </w:rPr>
              <w:t xml:space="preserve">Use of knowledge, research and evidence in practice - </w:t>
            </w:r>
            <w:r w:rsidRPr="00266FC7">
              <w:rPr>
                <w:rFonts w:eastAsiaTheme="minorHAnsi" w:cs="Arial"/>
                <w:szCs w:val="22"/>
                <w:lang w:val="en"/>
              </w:rPr>
              <w:t>demonstrate commitment to continuous professional learning and inquiry which supports evidence informed practice and a wider culture of learning.</w:t>
            </w:r>
          </w:p>
        </w:tc>
      </w:tr>
      <w:tr w:rsidR="00266FC7" w:rsidRPr="00266FC7" w14:paraId="06A8CB0E" w14:textId="77777777" w:rsidTr="005D0134">
        <w:tc>
          <w:tcPr>
            <w:tcW w:w="1596" w:type="dxa"/>
          </w:tcPr>
          <w:p w14:paraId="7F947D55" w14:textId="77777777" w:rsidR="00266FC7" w:rsidRPr="00266FC7" w:rsidRDefault="00266FC7" w:rsidP="00266FC7">
            <w:pPr>
              <w:rPr>
                <w:rFonts w:eastAsiaTheme="minorHAnsi" w:cs="Arial"/>
                <w:szCs w:val="22"/>
                <w:lang w:val="en"/>
              </w:rPr>
            </w:pPr>
            <w:r w:rsidRPr="00266FC7">
              <w:rPr>
                <w:rFonts w:eastAsiaTheme="minorHAnsi"/>
                <w:b/>
                <w:bCs/>
                <w:noProof/>
                <w:color w:val="000000" w:themeColor="text1"/>
                <w:szCs w:val="22"/>
              </w:rPr>
              <w:lastRenderedPageBreak/>
              <w:drawing>
                <wp:anchor distT="0" distB="0" distL="114300" distR="114300" simplePos="0" relativeHeight="251665408" behindDoc="0" locked="0" layoutInCell="1" allowOverlap="1" wp14:anchorId="3F297E37" wp14:editId="35DBD607">
                  <wp:simplePos x="0" y="0"/>
                  <wp:positionH relativeFrom="margin">
                    <wp:posOffset>-6350</wp:posOffset>
                  </wp:positionH>
                  <wp:positionV relativeFrom="margin">
                    <wp:posOffset>151130</wp:posOffset>
                  </wp:positionV>
                  <wp:extent cx="866010" cy="864000"/>
                  <wp:effectExtent l="0" t="0" r="0" b="0"/>
                  <wp:wrapSquare wrapText="bothSides"/>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866010" cy="864000"/>
                          </a:xfrm>
                          <a:prstGeom prst="rect">
                            <a:avLst/>
                          </a:prstGeom>
                        </pic:spPr>
                      </pic:pic>
                    </a:graphicData>
                  </a:graphic>
                  <wp14:sizeRelH relativeFrom="margin">
                    <wp14:pctWidth>0</wp14:pctWidth>
                  </wp14:sizeRelH>
                  <wp14:sizeRelV relativeFrom="margin">
                    <wp14:pctHeight>0</wp14:pctHeight>
                  </wp14:sizeRelV>
                </wp:anchor>
              </w:drawing>
            </w:r>
          </w:p>
        </w:tc>
        <w:tc>
          <w:tcPr>
            <w:tcW w:w="7420" w:type="dxa"/>
          </w:tcPr>
          <w:p w14:paraId="7E99167E" w14:textId="77777777" w:rsidR="00266FC7" w:rsidRPr="00266FC7" w:rsidRDefault="00266FC7" w:rsidP="00266FC7">
            <w:pPr>
              <w:rPr>
                <w:rFonts w:eastAsiaTheme="minorHAnsi" w:cs="Arial"/>
                <w:szCs w:val="22"/>
                <w:lang w:val="en"/>
              </w:rPr>
            </w:pPr>
            <w:r w:rsidRPr="00266FC7">
              <w:rPr>
                <w:rFonts w:eastAsiaTheme="minorHAnsi" w:cs="Arial"/>
                <w:b/>
                <w:bCs/>
                <w:szCs w:val="22"/>
                <w:lang w:val="en"/>
              </w:rPr>
              <w:t>Self-awareness and reflexivity</w:t>
            </w:r>
            <w:r w:rsidRPr="00266FC7">
              <w:rPr>
                <w:rFonts w:eastAsiaTheme="minorHAnsi" w:cs="Arial"/>
                <w:szCs w:val="22"/>
                <w:lang w:val="en"/>
              </w:rPr>
              <w:t xml:space="preserve"> – </w:t>
            </w:r>
            <w:proofErr w:type="spellStart"/>
            <w:r w:rsidRPr="00266FC7">
              <w:rPr>
                <w:rFonts w:eastAsiaTheme="minorHAnsi" w:cs="Arial"/>
                <w:szCs w:val="22"/>
                <w:lang w:val="en"/>
              </w:rPr>
              <w:t>recognise</w:t>
            </w:r>
            <w:proofErr w:type="spellEnd"/>
            <w:r w:rsidRPr="00266FC7">
              <w:rPr>
                <w:rFonts w:eastAsiaTheme="minorHAnsi" w:cs="Arial"/>
                <w:szCs w:val="22"/>
                <w:lang w:val="en"/>
              </w:rPr>
              <w:t xml:space="preserve"> the impact of the demands of professional social work practice on self and others and develop the use of reflexivity to contribute to personal wellbeing and effective and sustainable practice.</w:t>
            </w:r>
          </w:p>
          <w:p w14:paraId="5200E046" w14:textId="77777777" w:rsidR="00266FC7" w:rsidRPr="00266FC7" w:rsidRDefault="00266FC7" w:rsidP="00266FC7">
            <w:pPr>
              <w:rPr>
                <w:rFonts w:eastAsiaTheme="minorHAnsi" w:cs="Arial"/>
                <w:szCs w:val="22"/>
                <w:lang w:val="en"/>
              </w:rPr>
            </w:pPr>
            <w:r w:rsidRPr="00266FC7">
              <w:rPr>
                <w:rFonts w:eastAsiaTheme="minorHAnsi" w:cs="Arial"/>
                <w:szCs w:val="22"/>
                <w:lang w:val="en"/>
              </w:rPr>
              <w:t xml:space="preserve">  </w:t>
            </w:r>
          </w:p>
        </w:tc>
      </w:tr>
      <w:tr w:rsidR="00266FC7" w:rsidRPr="00266FC7" w14:paraId="4ACCCA72" w14:textId="77777777" w:rsidTr="005D0134">
        <w:tc>
          <w:tcPr>
            <w:tcW w:w="1596" w:type="dxa"/>
          </w:tcPr>
          <w:p w14:paraId="14828199" w14:textId="77777777" w:rsidR="00266FC7" w:rsidRPr="00266FC7" w:rsidRDefault="00266FC7" w:rsidP="00266FC7">
            <w:pPr>
              <w:rPr>
                <w:rFonts w:eastAsiaTheme="minorHAnsi" w:cs="Arial"/>
                <w:szCs w:val="22"/>
                <w:lang w:val="en"/>
              </w:rPr>
            </w:pPr>
            <w:r w:rsidRPr="00266FC7">
              <w:rPr>
                <w:rFonts w:eastAsiaTheme="minorHAnsi"/>
                <w:b/>
                <w:bCs/>
                <w:noProof/>
                <w:color w:val="000000" w:themeColor="text1"/>
                <w:szCs w:val="22"/>
              </w:rPr>
              <w:drawing>
                <wp:anchor distT="0" distB="0" distL="114300" distR="114300" simplePos="0" relativeHeight="251666432" behindDoc="0" locked="0" layoutInCell="1" allowOverlap="1" wp14:anchorId="4DAEA069" wp14:editId="3F4CBC21">
                  <wp:simplePos x="0" y="0"/>
                  <wp:positionH relativeFrom="column">
                    <wp:posOffset>-21590</wp:posOffset>
                  </wp:positionH>
                  <wp:positionV relativeFrom="paragraph">
                    <wp:posOffset>111125</wp:posOffset>
                  </wp:positionV>
                  <wp:extent cx="866970" cy="864000"/>
                  <wp:effectExtent l="0" t="0" r="0" b="0"/>
                  <wp:wrapSquare wrapText="bothSides"/>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866970" cy="864000"/>
                          </a:xfrm>
                          <a:prstGeom prst="rect">
                            <a:avLst/>
                          </a:prstGeom>
                        </pic:spPr>
                      </pic:pic>
                    </a:graphicData>
                  </a:graphic>
                  <wp14:sizeRelH relativeFrom="page">
                    <wp14:pctWidth>0</wp14:pctWidth>
                  </wp14:sizeRelH>
                  <wp14:sizeRelV relativeFrom="page">
                    <wp14:pctHeight>0</wp14:pctHeight>
                  </wp14:sizeRelV>
                </wp:anchor>
              </w:drawing>
            </w:r>
          </w:p>
        </w:tc>
        <w:tc>
          <w:tcPr>
            <w:tcW w:w="7420" w:type="dxa"/>
          </w:tcPr>
          <w:p w14:paraId="6DB2962F" w14:textId="77777777" w:rsidR="00266FC7" w:rsidRPr="00266FC7" w:rsidRDefault="00266FC7" w:rsidP="00266FC7">
            <w:pPr>
              <w:rPr>
                <w:rFonts w:eastAsiaTheme="minorHAnsi" w:cs="Arial"/>
                <w:szCs w:val="22"/>
                <w:lang w:val="en"/>
              </w:rPr>
            </w:pPr>
            <w:r w:rsidRPr="00266FC7">
              <w:rPr>
                <w:rFonts w:eastAsiaTheme="minorHAnsi"/>
                <w:b/>
                <w:bCs/>
                <w:color w:val="000000" w:themeColor="text1"/>
                <w:szCs w:val="22"/>
              </w:rPr>
              <w:t xml:space="preserve">Professional leadership - </w:t>
            </w:r>
            <w:r w:rsidRPr="00266FC7">
              <w:rPr>
                <w:rFonts w:eastAsiaTheme="minorHAnsi" w:cs="Arial"/>
                <w:szCs w:val="22"/>
                <w:lang w:val="en"/>
              </w:rPr>
              <w:t xml:space="preserve">develop personal and professional authority as a social worker including when working collaboratively across agency and professional boundaries.  </w:t>
            </w:r>
          </w:p>
          <w:p w14:paraId="77386D7A" w14:textId="77777777" w:rsidR="00266FC7" w:rsidRPr="00266FC7" w:rsidRDefault="00266FC7" w:rsidP="00266FC7">
            <w:pPr>
              <w:rPr>
                <w:rFonts w:eastAsiaTheme="minorHAnsi" w:cs="Arial"/>
                <w:szCs w:val="22"/>
                <w:lang w:val="en"/>
              </w:rPr>
            </w:pPr>
          </w:p>
        </w:tc>
      </w:tr>
    </w:tbl>
    <w:p w14:paraId="2D7F4B43" w14:textId="77777777" w:rsidR="00266FC7" w:rsidRPr="00266FC7" w:rsidRDefault="00266FC7" w:rsidP="00266FC7">
      <w:pPr>
        <w:spacing w:after="160" w:line="259" w:lineRule="auto"/>
        <w:rPr>
          <w:rFonts w:eastAsiaTheme="minorHAnsi" w:cs="Arial"/>
          <w:szCs w:val="22"/>
          <w:lang w:val="en"/>
        </w:rPr>
      </w:pPr>
    </w:p>
    <w:p w14:paraId="7213C954" w14:textId="077706A3" w:rsidR="00266FC7" w:rsidRDefault="00266FC7" w:rsidP="00954802">
      <w:pPr>
        <w:pStyle w:val="Heading1"/>
        <w:rPr>
          <w:rFonts w:ascii="Verdana" w:hAnsi="Verdana"/>
          <w:b/>
          <w:bCs/>
          <w:color w:val="00498F"/>
          <w:sz w:val="28"/>
          <w:szCs w:val="28"/>
        </w:rPr>
      </w:pPr>
    </w:p>
    <w:p w14:paraId="4732A670" w14:textId="70C4740E" w:rsidR="00FB3914" w:rsidRDefault="00FB3914" w:rsidP="00FB3914">
      <w:pPr>
        <w:rPr>
          <w:color w:val="00498F"/>
        </w:rPr>
      </w:pPr>
    </w:p>
    <w:p w14:paraId="3BA53306" w14:textId="4BA3436C" w:rsidR="00266FC7" w:rsidRDefault="00266FC7" w:rsidP="00FB3914">
      <w:pPr>
        <w:rPr>
          <w:color w:val="00498F"/>
        </w:rPr>
      </w:pPr>
    </w:p>
    <w:p w14:paraId="515E62B2" w14:textId="77777777" w:rsidR="00266FC7" w:rsidRPr="00076756" w:rsidRDefault="00266FC7" w:rsidP="00FB3914">
      <w:pPr>
        <w:rPr>
          <w:color w:val="00498F"/>
        </w:rPr>
      </w:pPr>
    </w:p>
    <w:sectPr w:rsidR="00266FC7" w:rsidRPr="00076756" w:rsidSect="00C9538F">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72761" w14:textId="77777777" w:rsidR="00AA1C6A" w:rsidRDefault="00AA1C6A" w:rsidP="00446BAA">
      <w:r>
        <w:separator/>
      </w:r>
    </w:p>
  </w:endnote>
  <w:endnote w:type="continuationSeparator" w:id="0">
    <w:p w14:paraId="2D90B2A2" w14:textId="77777777" w:rsidR="00AA1C6A" w:rsidRDefault="00AA1C6A" w:rsidP="00446BAA">
      <w:r>
        <w:continuationSeparator/>
      </w:r>
    </w:p>
  </w:endnote>
  <w:endnote w:type="continuationNotice" w:id="1">
    <w:p w14:paraId="631ED1D3" w14:textId="77777777" w:rsidR="00AA1C6A" w:rsidRDefault="00AA1C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PYWZ B+ Swiss 721 BT">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BA6BD" w14:textId="77777777" w:rsidR="00562603" w:rsidRDefault="005626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757B0" w14:textId="63552748" w:rsidR="00E52E63" w:rsidRPr="00E52E63" w:rsidRDefault="00562603" w:rsidP="00E52E63">
    <w:pPr>
      <w:tabs>
        <w:tab w:val="center" w:pos="4513"/>
        <w:tab w:val="right" w:pos="9026"/>
      </w:tabs>
      <w:rPr>
        <w:rFonts w:eastAsiaTheme="minorHAnsi"/>
        <w:szCs w:val="22"/>
      </w:rPr>
    </w:pPr>
    <w:r>
      <w:rPr>
        <w:rFonts w:eastAsiaTheme="minorHAnsi"/>
        <w:szCs w:val="22"/>
      </w:rPr>
      <w:t xml:space="preserve">Relevant for </w:t>
    </w:r>
    <w:r w:rsidR="00E52E63" w:rsidRPr="00E52E63">
      <w:rPr>
        <w:rFonts w:eastAsiaTheme="minorHAnsi"/>
        <w:szCs w:val="22"/>
      </w:rPr>
      <w:t>NQSW Supported Year early implementation 2021/22</w:t>
    </w:r>
    <w:r>
      <w:rPr>
        <w:rFonts w:eastAsiaTheme="minorHAnsi"/>
        <w:szCs w:val="22"/>
      </w:rPr>
      <w:t xml:space="preserve"> </w:t>
    </w:r>
  </w:p>
  <w:p w14:paraId="2B0BB5A6" w14:textId="77777777" w:rsidR="008D5A90" w:rsidRDefault="008D5A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603C5" w14:textId="77777777" w:rsidR="00562603" w:rsidRDefault="005626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25ADC" w14:textId="77777777" w:rsidR="00AA1C6A" w:rsidRDefault="00AA1C6A" w:rsidP="00446BAA">
      <w:r>
        <w:separator/>
      </w:r>
    </w:p>
  </w:footnote>
  <w:footnote w:type="continuationSeparator" w:id="0">
    <w:p w14:paraId="2FB1BE8A" w14:textId="77777777" w:rsidR="00AA1C6A" w:rsidRDefault="00AA1C6A" w:rsidP="00446BAA">
      <w:r>
        <w:continuationSeparator/>
      </w:r>
    </w:p>
  </w:footnote>
  <w:footnote w:type="continuationNotice" w:id="1">
    <w:p w14:paraId="5B785B12" w14:textId="77777777" w:rsidR="00AA1C6A" w:rsidRDefault="00AA1C6A"/>
  </w:footnote>
  <w:footnote w:id="2">
    <w:p w14:paraId="7F3DA994" w14:textId="77777777" w:rsidR="00180C43" w:rsidRPr="003E32A4" w:rsidRDefault="00180C43" w:rsidP="00180C43">
      <w:pPr>
        <w:pStyle w:val="FootnoteText"/>
      </w:pPr>
      <w:r w:rsidRPr="003E32A4">
        <w:rPr>
          <w:rStyle w:val="FootnoteReference"/>
        </w:rPr>
        <w:footnoteRef/>
      </w:r>
      <w:r w:rsidRPr="003E32A4">
        <w:t xml:space="preserve"> Further detail on </w:t>
      </w:r>
      <w:r w:rsidRPr="0092409B">
        <w:rPr>
          <w:rFonts w:eastAsia="Times New Roman" w:cs="Times New Roman"/>
          <w:lang w:eastAsia="en-GB"/>
        </w:rPr>
        <w:t xml:space="preserve">underpinning research and evaluation activity available via </w:t>
      </w:r>
      <w:hyperlink r:id="rId1" w:history="1">
        <w:r w:rsidRPr="0092409B">
          <w:rPr>
            <w:rFonts w:eastAsia="Times New Roman" w:cs="Times New Roman"/>
            <w:color w:val="0000FF"/>
            <w:u w:val="single"/>
            <w:lang w:eastAsia="en-GB"/>
          </w:rPr>
          <w:t>Newly Qualified Social Workers - Scottish Social Services Council (sssc.uk.com)</w:t>
        </w:r>
      </w:hyperlink>
    </w:p>
  </w:footnote>
  <w:footnote w:id="3">
    <w:p w14:paraId="5658EF65" w14:textId="77777777" w:rsidR="00AB641E" w:rsidRDefault="00AB641E" w:rsidP="00AB641E">
      <w:pPr>
        <w:pStyle w:val="FootnoteText"/>
      </w:pPr>
      <w:r>
        <w:rPr>
          <w:rStyle w:val="FootnoteReference"/>
        </w:rPr>
        <w:footnoteRef/>
      </w:r>
      <w:r>
        <w:t xml:space="preserve"> The NQSW supported year is linked to registration as a social worker.  All NQSWs are encouraged to register with the SSSC as soon as practicable on accepting or commencing employment.</w:t>
      </w:r>
    </w:p>
  </w:footnote>
  <w:footnote w:id="4">
    <w:p w14:paraId="2CE4D6BA" w14:textId="77777777" w:rsidR="00AB641E" w:rsidRDefault="00AB641E" w:rsidP="00AB641E">
      <w:pPr>
        <w:pStyle w:val="FootnoteText"/>
      </w:pPr>
      <w:r>
        <w:rPr>
          <w:rStyle w:val="FootnoteReference"/>
        </w:rPr>
        <w:footnoteRef/>
      </w:r>
      <w:r>
        <w:t xml:space="preserve"> </w:t>
      </w:r>
      <w:r w:rsidRPr="006A25BC">
        <w:t xml:space="preserve">Example </w:t>
      </w:r>
      <w:hyperlink r:id="rId2" w:history="1">
        <w:r w:rsidRPr="006A25BC">
          <w:rPr>
            <w:color w:val="0000FF"/>
            <w:u w:val="single"/>
          </w:rPr>
          <w:t>Standard 3 - Safe workloads and case allocation | Local Government Association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5E6B2" w14:textId="77777777" w:rsidR="00562603" w:rsidRDefault="005626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435D9" w14:textId="77777777" w:rsidR="00562603" w:rsidRDefault="005626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725A1" w14:textId="77777777" w:rsidR="00562603" w:rsidRDefault="005626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20027"/>
    <w:multiLevelType w:val="multilevel"/>
    <w:tmpl w:val="FBAE0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5E43B0"/>
    <w:multiLevelType w:val="hybridMultilevel"/>
    <w:tmpl w:val="FC54A80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 w15:restartNumberingAfterBreak="0">
    <w:nsid w:val="2B15105A"/>
    <w:multiLevelType w:val="hybridMultilevel"/>
    <w:tmpl w:val="0936B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152CB4"/>
    <w:multiLevelType w:val="hybridMultilevel"/>
    <w:tmpl w:val="1AF69F60"/>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4" w15:restartNumberingAfterBreak="0">
    <w:nsid w:val="389E3F9B"/>
    <w:multiLevelType w:val="hybridMultilevel"/>
    <w:tmpl w:val="9BDCB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6454BE"/>
    <w:multiLevelType w:val="hybridMultilevel"/>
    <w:tmpl w:val="9B2450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EE9131F"/>
    <w:multiLevelType w:val="hybridMultilevel"/>
    <w:tmpl w:val="4E8CA5F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526E187F"/>
    <w:multiLevelType w:val="hybridMultilevel"/>
    <w:tmpl w:val="C5CCDD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E115F5"/>
    <w:multiLevelType w:val="hybridMultilevel"/>
    <w:tmpl w:val="C5CCDD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12634B"/>
    <w:multiLevelType w:val="hybridMultilevel"/>
    <w:tmpl w:val="1E84E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7278AD"/>
    <w:multiLevelType w:val="hybridMultilevel"/>
    <w:tmpl w:val="3A08AE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1570CA"/>
    <w:multiLevelType w:val="hybridMultilevel"/>
    <w:tmpl w:val="6784D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6A138E"/>
    <w:multiLevelType w:val="hybridMultilevel"/>
    <w:tmpl w:val="BCE40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4E4FB5"/>
    <w:multiLevelType w:val="hybridMultilevel"/>
    <w:tmpl w:val="FFC02DEA"/>
    <w:lvl w:ilvl="0" w:tplc="51827ADA">
      <w:start w:val="3"/>
      <w:numFmt w:val="decimal"/>
      <w:lvlText w:val="%1."/>
      <w:lvlJc w:val="left"/>
      <w:pPr>
        <w:ind w:left="360" w:hanging="360"/>
      </w:pPr>
      <w:rPr>
        <w:rFonts w:eastAsiaTheme="minorHAnsi" w:cstheme="minorBidi"/>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6EB5532D"/>
    <w:multiLevelType w:val="hybridMultilevel"/>
    <w:tmpl w:val="6CBE4D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1EC30F5"/>
    <w:multiLevelType w:val="hybridMultilevel"/>
    <w:tmpl w:val="EC5AF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D817B9"/>
    <w:multiLevelType w:val="hybridMultilevel"/>
    <w:tmpl w:val="48A8EA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3EC0586"/>
    <w:multiLevelType w:val="hybridMultilevel"/>
    <w:tmpl w:val="4802E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B31EDA"/>
    <w:multiLevelType w:val="hybridMultilevel"/>
    <w:tmpl w:val="2E2252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35638B"/>
    <w:multiLevelType w:val="hybridMultilevel"/>
    <w:tmpl w:val="152C8F24"/>
    <w:lvl w:ilvl="0" w:tplc="E04EA6D6">
      <w:start w:val="1"/>
      <w:numFmt w:val="decimal"/>
      <w:lvlText w:val="%1."/>
      <w:lvlJc w:val="left"/>
      <w:pPr>
        <w:ind w:left="720" w:hanging="360"/>
      </w:pPr>
      <w:rPr>
        <w:rFonts w:hint="default"/>
        <w:color w:val="44546A"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FBF0C34"/>
    <w:multiLevelType w:val="hybridMultilevel"/>
    <w:tmpl w:val="C590E3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15"/>
  </w:num>
  <w:num w:numId="4">
    <w:abstractNumId w:val="2"/>
  </w:num>
  <w:num w:numId="5">
    <w:abstractNumId w:val="16"/>
  </w:num>
  <w:num w:numId="6">
    <w:abstractNumId w:val="20"/>
  </w:num>
  <w:num w:numId="7">
    <w:abstractNumId w:val="9"/>
  </w:num>
  <w:num w:numId="8">
    <w:abstractNumId w:val="0"/>
  </w:num>
  <w:num w:numId="9">
    <w:abstractNumId w:val="7"/>
  </w:num>
  <w:num w:numId="10">
    <w:abstractNumId w:val="1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8"/>
  </w:num>
  <w:num w:numId="14">
    <w:abstractNumId w:val="12"/>
  </w:num>
  <w:num w:numId="15">
    <w:abstractNumId w:val="19"/>
  </w:num>
  <w:num w:numId="16">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5"/>
  </w:num>
  <w:num w:numId="19">
    <w:abstractNumId w:val="8"/>
  </w:num>
  <w:num w:numId="20">
    <w:abstractNumId w:val="10"/>
  </w:num>
  <w:num w:numId="21">
    <w:abstractNumId w:val="14"/>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BFD"/>
    <w:rsid w:val="0000116D"/>
    <w:rsid w:val="000040A6"/>
    <w:rsid w:val="00005127"/>
    <w:rsid w:val="00005275"/>
    <w:rsid w:val="000063EE"/>
    <w:rsid w:val="00006B74"/>
    <w:rsid w:val="0001271B"/>
    <w:rsid w:val="00014C53"/>
    <w:rsid w:val="00021812"/>
    <w:rsid w:val="00021CAE"/>
    <w:rsid w:val="00021F0F"/>
    <w:rsid w:val="0002250F"/>
    <w:rsid w:val="00023AE8"/>
    <w:rsid w:val="00023F79"/>
    <w:rsid w:val="00025E44"/>
    <w:rsid w:val="000273F6"/>
    <w:rsid w:val="00027709"/>
    <w:rsid w:val="0003408F"/>
    <w:rsid w:val="0003440B"/>
    <w:rsid w:val="00035935"/>
    <w:rsid w:val="00036DED"/>
    <w:rsid w:val="0004007F"/>
    <w:rsid w:val="00042468"/>
    <w:rsid w:val="00042A45"/>
    <w:rsid w:val="00047195"/>
    <w:rsid w:val="00047ED6"/>
    <w:rsid w:val="00050163"/>
    <w:rsid w:val="00050178"/>
    <w:rsid w:val="0005149B"/>
    <w:rsid w:val="000516BB"/>
    <w:rsid w:val="00052844"/>
    <w:rsid w:val="00052CD2"/>
    <w:rsid w:val="00054B60"/>
    <w:rsid w:val="0005517D"/>
    <w:rsid w:val="0005546E"/>
    <w:rsid w:val="000568B9"/>
    <w:rsid w:val="00057295"/>
    <w:rsid w:val="00057902"/>
    <w:rsid w:val="00057E96"/>
    <w:rsid w:val="00060DD1"/>
    <w:rsid w:val="00061FA1"/>
    <w:rsid w:val="00062D80"/>
    <w:rsid w:val="00064380"/>
    <w:rsid w:val="0006579D"/>
    <w:rsid w:val="00066C6B"/>
    <w:rsid w:val="00067F60"/>
    <w:rsid w:val="0007226B"/>
    <w:rsid w:val="00072425"/>
    <w:rsid w:val="00072696"/>
    <w:rsid w:val="000746BB"/>
    <w:rsid w:val="0007554D"/>
    <w:rsid w:val="00076756"/>
    <w:rsid w:val="00076E44"/>
    <w:rsid w:val="000824B9"/>
    <w:rsid w:val="00083671"/>
    <w:rsid w:val="00083743"/>
    <w:rsid w:val="000846A6"/>
    <w:rsid w:val="00085DD6"/>
    <w:rsid w:val="00085FEA"/>
    <w:rsid w:val="000861A1"/>
    <w:rsid w:val="000864EF"/>
    <w:rsid w:val="0008654A"/>
    <w:rsid w:val="000868EA"/>
    <w:rsid w:val="0008775E"/>
    <w:rsid w:val="000878E9"/>
    <w:rsid w:val="00087B1A"/>
    <w:rsid w:val="00090581"/>
    <w:rsid w:val="00091836"/>
    <w:rsid w:val="00091CAD"/>
    <w:rsid w:val="00092929"/>
    <w:rsid w:val="00093BFC"/>
    <w:rsid w:val="00093E25"/>
    <w:rsid w:val="000949CF"/>
    <w:rsid w:val="000965B8"/>
    <w:rsid w:val="000969C9"/>
    <w:rsid w:val="000974BF"/>
    <w:rsid w:val="000A00C7"/>
    <w:rsid w:val="000A0261"/>
    <w:rsid w:val="000A5472"/>
    <w:rsid w:val="000A5AF6"/>
    <w:rsid w:val="000B0FCB"/>
    <w:rsid w:val="000B1355"/>
    <w:rsid w:val="000B1C5A"/>
    <w:rsid w:val="000B1DC2"/>
    <w:rsid w:val="000B3718"/>
    <w:rsid w:val="000B3AFD"/>
    <w:rsid w:val="000B49ED"/>
    <w:rsid w:val="000B57A2"/>
    <w:rsid w:val="000B743E"/>
    <w:rsid w:val="000C0C16"/>
    <w:rsid w:val="000C6013"/>
    <w:rsid w:val="000C602A"/>
    <w:rsid w:val="000D1C88"/>
    <w:rsid w:val="000D2304"/>
    <w:rsid w:val="000D2665"/>
    <w:rsid w:val="000D74F5"/>
    <w:rsid w:val="000D76A5"/>
    <w:rsid w:val="000E0899"/>
    <w:rsid w:val="000E0E32"/>
    <w:rsid w:val="000E13EF"/>
    <w:rsid w:val="000E321D"/>
    <w:rsid w:val="000E3B3D"/>
    <w:rsid w:val="000E3FD9"/>
    <w:rsid w:val="000E5502"/>
    <w:rsid w:val="000E5697"/>
    <w:rsid w:val="000E56E4"/>
    <w:rsid w:val="000E57FF"/>
    <w:rsid w:val="000E5EB0"/>
    <w:rsid w:val="000E62E3"/>
    <w:rsid w:val="000E66EE"/>
    <w:rsid w:val="000E71A7"/>
    <w:rsid w:val="000E7682"/>
    <w:rsid w:val="000E773A"/>
    <w:rsid w:val="000F1AC6"/>
    <w:rsid w:val="000F3BE8"/>
    <w:rsid w:val="000F4D95"/>
    <w:rsid w:val="000F56D9"/>
    <w:rsid w:val="00100136"/>
    <w:rsid w:val="00100567"/>
    <w:rsid w:val="00100AB7"/>
    <w:rsid w:val="00100C51"/>
    <w:rsid w:val="00101079"/>
    <w:rsid w:val="00101119"/>
    <w:rsid w:val="00101DA6"/>
    <w:rsid w:val="0010304B"/>
    <w:rsid w:val="001101F0"/>
    <w:rsid w:val="00115491"/>
    <w:rsid w:val="001154B5"/>
    <w:rsid w:val="0011572D"/>
    <w:rsid w:val="0011703E"/>
    <w:rsid w:val="00121DD4"/>
    <w:rsid w:val="00121F70"/>
    <w:rsid w:val="00122725"/>
    <w:rsid w:val="001229F6"/>
    <w:rsid w:val="00122D6D"/>
    <w:rsid w:val="00122E45"/>
    <w:rsid w:val="00123CCB"/>
    <w:rsid w:val="00123E46"/>
    <w:rsid w:val="00124370"/>
    <w:rsid w:val="001244E5"/>
    <w:rsid w:val="00126848"/>
    <w:rsid w:val="00126AD1"/>
    <w:rsid w:val="00126E39"/>
    <w:rsid w:val="00131528"/>
    <w:rsid w:val="001346DF"/>
    <w:rsid w:val="00135BD2"/>
    <w:rsid w:val="001363EC"/>
    <w:rsid w:val="001367DF"/>
    <w:rsid w:val="00136C87"/>
    <w:rsid w:val="001374E9"/>
    <w:rsid w:val="00141552"/>
    <w:rsid w:val="0014342C"/>
    <w:rsid w:val="00143FE8"/>
    <w:rsid w:val="0014506F"/>
    <w:rsid w:val="00145CC6"/>
    <w:rsid w:val="00145D44"/>
    <w:rsid w:val="00146668"/>
    <w:rsid w:val="001506CF"/>
    <w:rsid w:val="00150CD6"/>
    <w:rsid w:val="00152422"/>
    <w:rsid w:val="0015368B"/>
    <w:rsid w:val="00154E65"/>
    <w:rsid w:val="00156526"/>
    <w:rsid w:val="001574A2"/>
    <w:rsid w:val="00157712"/>
    <w:rsid w:val="001606EA"/>
    <w:rsid w:val="00162308"/>
    <w:rsid w:val="0016290C"/>
    <w:rsid w:val="0016361B"/>
    <w:rsid w:val="001644DB"/>
    <w:rsid w:val="00166503"/>
    <w:rsid w:val="00171075"/>
    <w:rsid w:val="001726ED"/>
    <w:rsid w:val="00173209"/>
    <w:rsid w:val="001733B6"/>
    <w:rsid w:val="00173598"/>
    <w:rsid w:val="00177752"/>
    <w:rsid w:val="00180173"/>
    <w:rsid w:val="00180C43"/>
    <w:rsid w:val="00180F8E"/>
    <w:rsid w:val="00183DCD"/>
    <w:rsid w:val="00184663"/>
    <w:rsid w:val="00184EBA"/>
    <w:rsid w:val="001863D2"/>
    <w:rsid w:val="00187806"/>
    <w:rsid w:val="0019374B"/>
    <w:rsid w:val="00193EC1"/>
    <w:rsid w:val="00195990"/>
    <w:rsid w:val="00195D13"/>
    <w:rsid w:val="001964CB"/>
    <w:rsid w:val="001979BE"/>
    <w:rsid w:val="00197B25"/>
    <w:rsid w:val="001A0A63"/>
    <w:rsid w:val="001A0FBF"/>
    <w:rsid w:val="001A4EBD"/>
    <w:rsid w:val="001A6997"/>
    <w:rsid w:val="001B427D"/>
    <w:rsid w:val="001B539B"/>
    <w:rsid w:val="001B5DBA"/>
    <w:rsid w:val="001B5E10"/>
    <w:rsid w:val="001B60DB"/>
    <w:rsid w:val="001C17C7"/>
    <w:rsid w:val="001C1930"/>
    <w:rsid w:val="001C2FBA"/>
    <w:rsid w:val="001C38BB"/>
    <w:rsid w:val="001C6845"/>
    <w:rsid w:val="001C7DA0"/>
    <w:rsid w:val="001C7DD3"/>
    <w:rsid w:val="001D119C"/>
    <w:rsid w:val="001D3162"/>
    <w:rsid w:val="001D3DBB"/>
    <w:rsid w:val="001D3DEE"/>
    <w:rsid w:val="001D5EFD"/>
    <w:rsid w:val="001D6735"/>
    <w:rsid w:val="001D6C36"/>
    <w:rsid w:val="001E1CB3"/>
    <w:rsid w:val="001E1F11"/>
    <w:rsid w:val="001E3472"/>
    <w:rsid w:val="001E3ACF"/>
    <w:rsid w:val="001E4754"/>
    <w:rsid w:val="001E528A"/>
    <w:rsid w:val="001E79F7"/>
    <w:rsid w:val="001F038D"/>
    <w:rsid w:val="001F0F92"/>
    <w:rsid w:val="001F1685"/>
    <w:rsid w:val="001F28C1"/>
    <w:rsid w:val="001F2FF9"/>
    <w:rsid w:val="001F480D"/>
    <w:rsid w:val="001F516E"/>
    <w:rsid w:val="002028C3"/>
    <w:rsid w:val="00203FCF"/>
    <w:rsid w:val="00205596"/>
    <w:rsid w:val="00207421"/>
    <w:rsid w:val="00207977"/>
    <w:rsid w:val="002145C7"/>
    <w:rsid w:val="00215B10"/>
    <w:rsid w:val="0022050C"/>
    <w:rsid w:val="00220617"/>
    <w:rsid w:val="00223A4A"/>
    <w:rsid w:val="00225CFE"/>
    <w:rsid w:val="00227CF3"/>
    <w:rsid w:val="002301E6"/>
    <w:rsid w:val="00231AC6"/>
    <w:rsid w:val="00232B80"/>
    <w:rsid w:val="002335D1"/>
    <w:rsid w:val="00233BA4"/>
    <w:rsid w:val="00233EBE"/>
    <w:rsid w:val="002341A0"/>
    <w:rsid w:val="00235C17"/>
    <w:rsid w:val="00237B00"/>
    <w:rsid w:val="00237C17"/>
    <w:rsid w:val="0024028E"/>
    <w:rsid w:val="002406E3"/>
    <w:rsid w:val="00241329"/>
    <w:rsid w:val="00241B92"/>
    <w:rsid w:val="002449FC"/>
    <w:rsid w:val="002457A9"/>
    <w:rsid w:val="00245D21"/>
    <w:rsid w:val="00245D34"/>
    <w:rsid w:val="00246CD8"/>
    <w:rsid w:val="00247075"/>
    <w:rsid w:val="00250342"/>
    <w:rsid w:val="00251286"/>
    <w:rsid w:val="00251305"/>
    <w:rsid w:val="00252C24"/>
    <w:rsid w:val="00252CFB"/>
    <w:rsid w:val="002539C3"/>
    <w:rsid w:val="00254E94"/>
    <w:rsid w:val="00255B39"/>
    <w:rsid w:val="00256C88"/>
    <w:rsid w:val="00260A11"/>
    <w:rsid w:val="002618C4"/>
    <w:rsid w:val="00262AE7"/>
    <w:rsid w:val="00262F32"/>
    <w:rsid w:val="00265B71"/>
    <w:rsid w:val="00266697"/>
    <w:rsid w:val="00266D74"/>
    <w:rsid w:val="00266FC7"/>
    <w:rsid w:val="002713C2"/>
    <w:rsid w:val="00271DD5"/>
    <w:rsid w:val="00271F79"/>
    <w:rsid w:val="00272E45"/>
    <w:rsid w:val="0027497D"/>
    <w:rsid w:val="002749C9"/>
    <w:rsid w:val="00274D1F"/>
    <w:rsid w:val="0027663A"/>
    <w:rsid w:val="00276C72"/>
    <w:rsid w:val="00277C07"/>
    <w:rsid w:val="00280D66"/>
    <w:rsid w:val="00281554"/>
    <w:rsid w:val="002834F5"/>
    <w:rsid w:val="0029309C"/>
    <w:rsid w:val="00293778"/>
    <w:rsid w:val="00294980"/>
    <w:rsid w:val="002963CA"/>
    <w:rsid w:val="002A0100"/>
    <w:rsid w:val="002A0517"/>
    <w:rsid w:val="002A09E6"/>
    <w:rsid w:val="002A204F"/>
    <w:rsid w:val="002A3684"/>
    <w:rsid w:val="002A3C10"/>
    <w:rsid w:val="002A5733"/>
    <w:rsid w:val="002A642A"/>
    <w:rsid w:val="002A7C72"/>
    <w:rsid w:val="002B0599"/>
    <w:rsid w:val="002B1C61"/>
    <w:rsid w:val="002B26C6"/>
    <w:rsid w:val="002B2F17"/>
    <w:rsid w:val="002B34CC"/>
    <w:rsid w:val="002B6054"/>
    <w:rsid w:val="002B6478"/>
    <w:rsid w:val="002B6661"/>
    <w:rsid w:val="002B6D10"/>
    <w:rsid w:val="002B7545"/>
    <w:rsid w:val="002B759F"/>
    <w:rsid w:val="002B79AB"/>
    <w:rsid w:val="002C15D8"/>
    <w:rsid w:val="002C1E66"/>
    <w:rsid w:val="002C2E88"/>
    <w:rsid w:val="002C3289"/>
    <w:rsid w:val="002C4094"/>
    <w:rsid w:val="002C5A38"/>
    <w:rsid w:val="002C5F3D"/>
    <w:rsid w:val="002D12A6"/>
    <w:rsid w:val="002D14C9"/>
    <w:rsid w:val="002D196E"/>
    <w:rsid w:val="002D4467"/>
    <w:rsid w:val="002D49B4"/>
    <w:rsid w:val="002D60F9"/>
    <w:rsid w:val="002D7E91"/>
    <w:rsid w:val="002D7ECE"/>
    <w:rsid w:val="002E00F3"/>
    <w:rsid w:val="002E1EFD"/>
    <w:rsid w:val="002E34BF"/>
    <w:rsid w:val="002E4E28"/>
    <w:rsid w:val="002F0DAF"/>
    <w:rsid w:val="002F1011"/>
    <w:rsid w:val="002F159A"/>
    <w:rsid w:val="002F23DA"/>
    <w:rsid w:val="002F2EA4"/>
    <w:rsid w:val="002F4084"/>
    <w:rsid w:val="002F656D"/>
    <w:rsid w:val="002F6ABC"/>
    <w:rsid w:val="003013FA"/>
    <w:rsid w:val="003022DF"/>
    <w:rsid w:val="00302AF9"/>
    <w:rsid w:val="00302CDD"/>
    <w:rsid w:val="003049B5"/>
    <w:rsid w:val="00306395"/>
    <w:rsid w:val="00310D4B"/>
    <w:rsid w:val="00313729"/>
    <w:rsid w:val="003137DF"/>
    <w:rsid w:val="00313DE0"/>
    <w:rsid w:val="00314AFF"/>
    <w:rsid w:val="0031552E"/>
    <w:rsid w:val="003155A1"/>
    <w:rsid w:val="00315D96"/>
    <w:rsid w:val="00315E05"/>
    <w:rsid w:val="0031729A"/>
    <w:rsid w:val="003230A2"/>
    <w:rsid w:val="0032377B"/>
    <w:rsid w:val="00323F11"/>
    <w:rsid w:val="00324012"/>
    <w:rsid w:val="00324A14"/>
    <w:rsid w:val="00327587"/>
    <w:rsid w:val="00327643"/>
    <w:rsid w:val="00327E19"/>
    <w:rsid w:val="00332078"/>
    <w:rsid w:val="00332F94"/>
    <w:rsid w:val="0033340A"/>
    <w:rsid w:val="00333DFE"/>
    <w:rsid w:val="00335582"/>
    <w:rsid w:val="003363E1"/>
    <w:rsid w:val="00340386"/>
    <w:rsid w:val="0034244B"/>
    <w:rsid w:val="003464B4"/>
    <w:rsid w:val="0034666B"/>
    <w:rsid w:val="00346ABF"/>
    <w:rsid w:val="0034795F"/>
    <w:rsid w:val="00350AA2"/>
    <w:rsid w:val="00352D75"/>
    <w:rsid w:val="00352E35"/>
    <w:rsid w:val="00352F05"/>
    <w:rsid w:val="00354C01"/>
    <w:rsid w:val="003554AD"/>
    <w:rsid w:val="00355B59"/>
    <w:rsid w:val="00356684"/>
    <w:rsid w:val="003575C1"/>
    <w:rsid w:val="003600E5"/>
    <w:rsid w:val="00360123"/>
    <w:rsid w:val="003619C2"/>
    <w:rsid w:val="003627F0"/>
    <w:rsid w:val="00364202"/>
    <w:rsid w:val="00367016"/>
    <w:rsid w:val="00367223"/>
    <w:rsid w:val="003673AB"/>
    <w:rsid w:val="003702DE"/>
    <w:rsid w:val="003709B8"/>
    <w:rsid w:val="0037111C"/>
    <w:rsid w:val="003716D8"/>
    <w:rsid w:val="00372F65"/>
    <w:rsid w:val="003751BF"/>
    <w:rsid w:val="00376705"/>
    <w:rsid w:val="00376C6B"/>
    <w:rsid w:val="00377D83"/>
    <w:rsid w:val="003826FF"/>
    <w:rsid w:val="003827CE"/>
    <w:rsid w:val="003827CF"/>
    <w:rsid w:val="00382C81"/>
    <w:rsid w:val="00384DE9"/>
    <w:rsid w:val="0038504B"/>
    <w:rsid w:val="00386748"/>
    <w:rsid w:val="0038765B"/>
    <w:rsid w:val="00387E55"/>
    <w:rsid w:val="003924FB"/>
    <w:rsid w:val="00395209"/>
    <w:rsid w:val="0039595C"/>
    <w:rsid w:val="00395A6F"/>
    <w:rsid w:val="00397729"/>
    <w:rsid w:val="00397786"/>
    <w:rsid w:val="00397909"/>
    <w:rsid w:val="00397A00"/>
    <w:rsid w:val="00397E7C"/>
    <w:rsid w:val="003A0385"/>
    <w:rsid w:val="003A03B6"/>
    <w:rsid w:val="003A09E7"/>
    <w:rsid w:val="003A1A0E"/>
    <w:rsid w:val="003A3CA8"/>
    <w:rsid w:val="003A46D5"/>
    <w:rsid w:val="003A5FD7"/>
    <w:rsid w:val="003A7761"/>
    <w:rsid w:val="003B0A3F"/>
    <w:rsid w:val="003B2C10"/>
    <w:rsid w:val="003B3E18"/>
    <w:rsid w:val="003B3F3D"/>
    <w:rsid w:val="003B3FAD"/>
    <w:rsid w:val="003B49FE"/>
    <w:rsid w:val="003B4E65"/>
    <w:rsid w:val="003B5004"/>
    <w:rsid w:val="003B5E0F"/>
    <w:rsid w:val="003B6873"/>
    <w:rsid w:val="003B738B"/>
    <w:rsid w:val="003C09D3"/>
    <w:rsid w:val="003C1A44"/>
    <w:rsid w:val="003C343F"/>
    <w:rsid w:val="003C37D5"/>
    <w:rsid w:val="003C47BF"/>
    <w:rsid w:val="003C4F1F"/>
    <w:rsid w:val="003C6CA6"/>
    <w:rsid w:val="003D0B93"/>
    <w:rsid w:val="003D3172"/>
    <w:rsid w:val="003D36F9"/>
    <w:rsid w:val="003D52A5"/>
    <w:rsid w:val="003D5AA4"/>
    <w:rsid w:val="003D6269"/>
    <w:rsid w:val="003D6893"/>
    <w:rsid w:val="003D6C82"/>
    <w:rsid w:val="003D6F73"/>
    <w:rsid w:val="003E2C51"/>
    <w:rsid w:val="003E3967"/>
    <w:rsid w:val="003E3C86"/>
    <w:rsid w:val="003E53BF"/>
    <w:rsid w:val="003E5527"/>
    <w:rsid w:val="003E5559"/>
    <w:rsid w:val="003E5A35"/>
    <w:rsid w:val="003F0E6A"/>
    <w:rsid w:val="003F1F3C"/>
    <w:rsid w:val="003F5B27"/>
    <w:rsid w:val="003F6DC5"/>
    <w:rsid w:val="003F7061"/>
    <w:rsid w:val="003F7356"/>
    <w:rsid w:val="0040002B"/>
    <w:rsid w:val="004015C5"/>
    <w:rsid w:val="00401AB5"/>
    <w:rsid w:val="004020CD"/>
    <w:rsid w:val="00402DCA"/>
    <w:rsid w:val="00402E6D"/>
    <w:rsid w:val="00402EFB"/>
    <w:rsid w:val="00403E89"/>
    <w:rsid w:val="00406148"/>
    <w:rsid w:val="00406654"/>
    <w:rsid w:val="00406E66"/>
    <w:rsid w:val="00407249"/>
    <w:rsid w:val="004077CC"/>
    <w:rsid w:val="00410865"/>
    <w:rsid w:val="00411167"/>
    <w:rsid w:val="004113C3"/>
    <w:rsid w:val="00411454"/>
    <w:rsid w:val="004126A4"/>
    <w:rsid w:val="00413865"/>
    <w:rsid w:val="00413F3F"/>
    <w:rsid w:val="00416BDD"/>
    <w:rsid w:val="00421445"/>
    <w:rsid w:val="004215F4"/>
    <w:rsid w:val="004242A3"/>
    <w:rsid w:val="00424B80"/>
    <w:rsid w:val="004256BB"/>
    <w:rsid w:val="004270B0"/>
    <w:rsid w:val="00430D84"/>
    <w:rsid w:val="004314D3"/>
    <w:rsid w:val="004341ED"/>
    <w:rsid w:val="0043594A"/>
    <w:rsid w:val="00443544"/>
    <w:rsid w:val="0044512F"/>
    <w:rsid w:val="00446246"/>
    <w:rsid w:val="00446B41"/>
    <w:rsid w:val="00446BAA"/>
    <w:rsid w:val="00446EB3"/>
    <w:rsid w:val="00451849"/>
    <w:rsid w:val="00451C95"/>
    <w:rsid w:val="00453040"/>
    <w:rsid w:val="00453CF0"/>
    <w:rsid w:val="00455853"/>
    <w:rsid w:val="00460F02"/>
    <w:rsid w:val="00461D91"/>
    <w:rsid w:val="00462752"/>
    <w:rsid w:val="00462FD8"/>
    <w:rsid w:val="004633FC"/>
    <w:rsid w:val="00463658"/>
    <w:rsid w:val="0046378F"/>
    <w:rsid w:val="00463793"/>
    <w:rsid w:val="00470F84"/>
    <w:rsid w:val="00472069"/>
    <w:rsid w:val="0047221D"/>
    <w:rsid w:val="00474598"/>
    <w:rsid w:val="004802A6"/>
    <w:rsid w:val="00481C40"/>
    <w:rsid w:val="0048266F"/>
    <w:rsid w:val="00482C94"/>
    <w:rsid w:val="00484BEA"/>
    <w:rsid w:val="00486BAE"/>
    <w:rsid w:val="00486C08"/>
    <w:rsid w:val="00487CF7"/>
    <w:rsid w:val="0049069A"/>
    <w:rsid w:val="00490992"/>
    <w:rsid w:val="00490B83"/>
    <w:rsid w:val="00496584"/>
    <w:rsid w:val="0049769C"/>
    <w:rsid w:val="004A1E38"/>
    <w:rsid w:val="004A3CB9"/>
    <w:rsid w:val="004A461D"/>
    <w:rsid w:val="004A4CF0"/>
    <w:rsid w:val="004A4D05"/>
    <w:rsid w:val="004A5386"/>
    <w:rsid w:val="004A54B0"/>
    <w:rsid w:val="004A555F"/>
    <w:rsid w:val="004A5FFF"/>
    <w:rsid w:val="004A6206"/>
    <w:rsid w:val="004A713F"/>
    <w:rsid w:val="004B21AC"/>
    <w:rsid w:val="004B251B"/>
    <w:rsid w:val="004B3E55"/>
    <w:rsid w:val="004B4CE8"/>
    <w:rsid w:val="004B5277"/>
    <w:rsid w:val="004B5B01"/>
    <w:rsid w:val="004B5B03"/>
    <w:rsid w:val="004B63E5"/>
    <w:rsid w:val="004B6D48"/>
    <w:rsid w:val="004C00DA"/>
    <w:rsid w:val="004C04FF"/>
    <w:rsid w:val="004C0636"/>
    <w:rsid w:val="004C25A8"/>
    <w:rsid w:val="004C2956"/>
    <w:rsid w:val="004C2C0D"/>
    <w:rsid w:val="004C3A89"/>
    <w:rsid w:val="004C5DA2"/>
    <w:rsid w:val="004C5DDB"/>
    <w:rsid w:val="004C6A19"/>
    <w:rsid w:val="004D2C02"/>
    <w:rsid w:val="004D3A47"/>
    <w:rsid w:val="004D5302"/>
    <w:rsid w:val="004D6E03"/>
    <w:rsid w:val="004D79AA"/>
    <w:rsid w:val="004D7B20"/>
    <w:rsid w:val="004E00EC"/>
    <w:rsid w:val="004E00F9"/>
    <w:rsid w:val="004E1294"/>
    <w:rsid w:val="004E1AF8"/>
    <w:rsid w:val="004E2075"/>
    <w:rsid w:val="004E2973"/>
    <w:rsid w:val="004E33DB"/>
    <w:rsid w:val="004E391E"/>
    <w:rsid w:val="004E4DA8"/>
    <w:rsid w:val="004E4E45"/>
    <w:rsid w:val="004E5315"/>
    <w:rsid w:val="004E531F"/>
    <w:rsid w:val="004E5C63"/>
    <w:rsid w:val="004E6D80"/>
    <w:rsid w:val="004F21FA"/>
    <w:rsid w:val="004F285D"/>
    <w:rsid w:val="004F57E3"/>
    <w:rsid w:val="004F58C0"/>
    <w:rsid w:val="004F5DC7"/>
    <w:rsid w:val="004F6374"/>
    <w:rsid w:val="004F6F39"/>
    <w:rsid w:val="00501695"/>
    <w:rsid w:val="00501CCB"/>
    <w:rsid w:val="00502795"/>
    <w:rsid w:val="0050536B"/>
    <w:rsid w:val="00507818"/>
    <w:rsid w:val="0050790B"/>
    <w:rsid w:val="00507E1C"/>
    <w:rsid w:val="005115B3"/>
    <w:rsid w:val="00511FF6"/>
    <w:rsid w:val="005128BC"/>
    <w:rsid w:val="00513F4E"/>
    <w:rsid w:val="00514B7B"/>
    <w:rsid w:val="00517330"/>
    <w:rsid w:val="00517641"/>
    <w:rsid w:val="005209D5"/>
    <w:rsid w:val="00526343"/>
    <w:rsid w:val="00526DE3"/>
    <w:rsid w:val="005276DC"/>
    <w:rsid w:val="00530457"/>
    <w:rsid w:val="00530E49"/>
    <w:rsid w:val="0053574A"/>
    <w:rsid w:val="00537BD7"/>
    <w:rsid w:val="00537FB8"/>
    <w:rsid w:val="005418D5"/>
    <w:rsid w:val="00542DD2"/>
    <w:rsid w:val="00543153"/>
    <w:rsid w:val="00544E8F"/>
    <w:rsid w:val="0054512A"/>
    <w:rsid w:val="0054594A"/>
    <w:rsid w:val="00546DAE"/>
    <w:rsid w:val="00550425"/>
    <w:rsid w:val="00552AD0"/>
    <w:rsid w:val="00553B35"/>
    <w:rsid w:val="00553F36"/>
    <w:rsid w:val="0055417C"/>
    <w:rsid w:val="005543AA"/>
    <w:rsid w:val="00554976"/>
    <w:rsid w:val="0055510B"/>
    <w:rsid w:val="00555DF3"/>
    <w:rsid w:val="005565D1"/>
    <w:rsid w:val="00556B73"/>
    <w:rsid w:val="00556E77"/>
    <w:rsid w:val="00556EA7"/>
    <w:rsid w:val="00557AF6"/>
    <w:rsid w:val="005600CE"/>
    <w:rsid w:val="005611BB"/>
    <w:rsid w:val="00561E70"/>
    <w:rsid w:val="00562603"/>
    <w:rsid w:val="00562AA3"/>
    <w:rsid w:val="005638A5"/>
    <w:rsid w:val="00563CAE"/>
    <w:rsid w:val="005657CC"/>
    <w:rsid w:val="00565CD4"/>
    <w:rsid w:val="00565DED"/>
    <w:rsid w:val="00566EBF"/>
    <w:rsid w:val="005672B7"/>
    <w:rsid w:val="0057101A"/>
    <w:rsid w:val="005711B0"/>
    <w:rsid w:val="00571AFB"/>
    <w:rsid w:val="00571C43"/>
    <w:rsid w:val="00572532"/>
    <w:rsid w:val="00575653"/>
    <w:rsid w:val="00580084"/>
    <w:rsid w:val="005810D6"/>
    <w:rsid w:val="00581BBA"/>
    <w:rsid w:val="0058216F"/>
    <w:rsid w:val="005828CC"/>
    <w:rsid w:val="00582B35"/>
    <w:rsid w:val="005833FC"/>
    <w:rsid w:val="005840F5"/>
    <w:rsid w:val="00584110"/>
    <w:rsid w:val="00587D70"/>
    <w:rsid w:val="00591262"/>
    <w:rsid w:val="00592EA0"/>
    <w:rsid w:val="005942F3"/>
    <w:rsid w:val="005946EF"/>
    <w:rsid w:val="0059496C"/>
    <w:rsid w:val="0059565F"/>
    <w:rsid w:val="00596393"/>
    <w:rsid w:val="005969CB"/>
    <w:rsid w:val="005971FC"/>
    <w:rsid w:val="00597710"/>
    <w:rsid w:val="005A1E5D"/>
    <w:rsid w:val="005A2E37"/>
    <w:rsid w:val="005A3C13"/>
    <w:rsid w:val="005A42E1"/>
    <w:rsid w:val="005A4448"/>
    <w:rsid w:val="005A55F2"/>
    <w:rsid w:val="005A6214"/>
    <w:rsid w:val="005B01BE"/>
    <w:rsid w:val="005B0865"/>
    <w:rsid w:val="005B14D8"/>
    <w:rsid w:val="005B1B8F"/>
    <w:rsid w:val="005B21CA"/>
    <w:rsid w:val="005B2923"/>
    <w:rsid w:val="005B3EE3"/>
    <w:rsid w:val="005B3EF6"/>
    <w:rsid w:val="005B4484"/>
    <w:rsid w:val="005B44CE"/>
    <w:rsid w:val="005B4E7D"/>
    <w:rsid w:val="005B54E1"/>
    <w:rsid w:val="005C5152"/>
    <w:rsid w:val="005C539F"/>
    <w:rsid w:val="005C647C"/>
    <w:rsid w:val="005C771D"/>
    <w:rsid w:val="005D0EC7"/>
    <w:rsid w:val="005D41BB"/>
    <w:rsid w:val="005D4F8C"/>
    <w:rsid w:val="005D5A1E"/>
    <w:rsid w:val="005D6962"/>
    <w:rsid w:val="005E2CD6"/>
    <w:rsid w:val="005E34DB"/>
    <w:rsid w:val="005E3C8F"/>
    <w:rsid w:val="005E5A89"/>
    <w:rsid w:val="005E6680"/>
    <w:rsid w:val="005E7917"/>
    <w:rsid w:val="005E7F52"/>
    <w:rsid w:val="005F0D25"/>
    <w:rsid w:val="005F1324"/>
    <w:rsid w:val="005F1A4F"/>
    <w:rsid w:val="005F2CF3"/>
    <w:rsid w:val="005F5645"/>
    <w:rsid w:val="005F5C4B"/>
    <w:rsid w:val="005F7E71"/>
    <w:rsid w:val="00600C6A"/>
    <w:rsid w:val="0060152D"/>
    <w:rsid w:val="006036E1"/>
    <w:rsid w:val="00604191"/>
    <w:rsid w:val="006042BB"/>
    <w:rsid w:val="0060471A"/>
    <w:rsid w:val="0060523F"/>
    <w:rsid w:val="0060533B"/>
    <w:rsid w:val="00605FB3"/>
    <w:rsid w:val="00606A3E"/>
    <w:rsid w:val="00606FFB"/>
    <w:rsid w:val="00607FE6"/>
    <w:rsid w:val="00610E4A"/>
    <w:rsid w:val="00610F18"/>
    <w:rsid w:val="00611471"/>
    <w:rsid w:val="00611D86"/>
    <w:rsid w:val="006125D5"/>
    <w:rsid w:val="00614BB1"/>
    <w:rsid w:val="0061509D"/>
    <w:rsid w:val="00616057"/>
    <w:rsid w:val="0061653B"/>
    <w:rsid w:val="006177DC"/>
    <w:rsid w:val="0062059A"/>
    <w:rsid w:val="0062086C"/>
    <w:rsid w:val="0062088A"/>
    <w:rsid w:val="00620E73"/>
    <w:rsid w:val="0062106F"/>
    <w:rsid w:val="00622592"/>
    <w:rsid w:val="00622D2D"/>
    <w:rsid w:val="006251BE"/>
    <w:rsid w:val="006277B7"/>
    <w:rsid w:val="00633ED3"/>
    <w:rsid w:val="0063433F"/>
    <w:rsid w:val="00637C36"/>
    <w:rsid w:val="00641422"/>
    <w:rsid w:val="006429F0"/>
    <w:rsid w:val="0064372E"/>
    <w:rsid w:val="00643EF1"/>
    <w:rsid w:val="006457FE"/>
    <w:rsid w:val="00646A89"/>
    <w:rsid w:val="006508A5"/>
    <w:rsid w:val="00653302"/>
    <w:rsid w:val="0065533E"/>
    <w:rsid w:val="006553FD"/>
    <w:rsid w:val="006560C0"/>
    <w:rsid w:val="00656527"/>
    <w:rsid w:val="00656EC5"/>
    <w:rsid w:val="00657597"/>
    <w:rsid w:val="00657D07"/>
    <w:rsid w:val="006636EA"/>
    <w:rsid w:val="00666C6A"/>
    <w:rsid w:val="00667310"/>
    <w:rsid w:val="0066755F"/>
    <w:rsid w:val="006704A7"/>
    <w:rsid w:val="00670628"/>
    <w:rsid w:val="006707B4"/>
    <w:rsid w:val="00671CE4"/>
    <w:rsid w:val="006728B5"/>
    <w:rsid w:val="00672998"/>
    <w:rsid w:val="006731A6"/>
    <w:rsid w:val="00674C04"/>
    <w:rsid w:val="00675BB5"/>
    <w:rsid w:val="00676B2D"/>
    <w:rsid w:val="006773DE"/>
    <w:rsid w:val="0067789B"/>
    <w:rsid w:val="00681A25"/>
    <w:rsid w:val="006821B1"/>
    <w:rsid w:val="006839B4"/>
    <w:rsid w:val="0068563D"/>
    <w:rsid w:val="00686278"/>
    <w:rsid w:val="00695503"/>
    <w:rsid w:val="006A070C"/>
    <w:rsid w:val="006A0CA6"/>
    <w:rsid w:val="006A0DCD"/>
    <w:rsid w:val="006A2802"/>
    <w:rsid w:val="006A3049"/>
    <w:rsid w:val="006A420E"/>
    <w:rsid w:val="006A696B"/>
    <w:rsid w:val="006B2459"/>
    <w:rsid w:val="006B29E4"/>
    <w:rsid w:val="006B2CDF"/>
    <w:rsid w:val="006B67C8"/>
    <w:rsid w:val="006B6E92"/>
    <w:rsid w:val="006B7054"/>
    <w:rsid w:val="006B71D6"/>
    <w:rsid w:val="006B79F0"/>
    <w:rsid w:val="006C10C6"/>
    <w:rsid w:val="006C1D1C"/>
    <w:rsid w:val="006C1EE5"/>
    <w:rsid w:val="006C29A0"/>
    <w:rsid w:val="006C305F"/>
    <w:rsid w:val="006C3798"/>
    <w:rsid w:val="006C3C79"/>
    <w:rsid w:val="006C475A"/>
    <w:rsid w:val="006C4A89"/>
    <w:rsid w:val="006C4E4D"/>
    <w:rsid w:val="006C4F96"/>
    <w:rsid w:val="006C7B17"/>
    <w:rsid w:val="006D01EC"/>
    <w:rsid w:val="006D196F"/>
    <w:rsid w:val="006D4B7C"/>
    <w:rsid w:val="006D588E"/>
    <w:rsid w:val="006D5A25"/>
    <w:rsid w:val="006D6696"/>
    <w:rsid w:val="006D6987"/>
    <w:rsid w:val="006D7014"/>
    <w:rsid w:val="006E0795"/>
    <w:rsid w:val="006E4097"/>
    <w:rsid w:val="006E4813"/>
    <w:rsid w:val="006E4EA2"/>
    <w:rsid w:val="006E4F43"/>
    <w:rsid w:val="006E502B"/>
    <w:rsid w:val="006E51E8"/>
    <w:rsid w:val="006E5C11"/>
    <w:rsid w:val="006E6375"/>
    <w:rsid w:val="006E759F"/>
    <w:rsid w:val="006E7928"/>
    <w:rsid w:val="006F0C54"/>
    <w:rsid w:val="006F13F8"/>
    <w:rsid w:val="006F3E39"/>
    <w:rsid w:val="006F7504"/>
    <w:rsid w:val="00700BA0"/>
    <w:rsid w:val="00700FF8"/>
    <w:rsid w:val="00701514"/>
    <w:rsid w:val="007017A0"/>
    <w:rsid w:val="00701972"/>
    <w:rsid w:val="00702DB0"/>
    <w:rsid w:val="007051E0"/>
    <w:rsid w:val="0070541F"/>
    <w:rsid w:val="0070589F"/>
    <w:rsid w:val="00706A94"/>
    <w:rsid w:val="007078E9"/>
    <w:rsid w:val="00710630"/>
    <w:rsid w:val="0071069A"/>
    <w:rsid w:val="00710846"/>
    <w:rsid w:val="00710A95"/>
    <w:rsid w:val="00713BF2"/>
    <w:rsid w:val="00716461"/>
    <w:rsid w:val="00717070"/>
    <w:rsid w:val="007170D0"/>
    <w:rsid w:val="00717263"/>
    <w:rsid w:val="00721A7A"/>
    <w:rsid w:val="00721F06"/>
    <w:rsid w:val="0072385C"/>
    <w:rsid w:val="00726272"/>
    <w:rsid w:val="00726927"/>
    <w:rsid w:val="007276A3"/>
    <w:rsid w:val="00727738"/>
    <w:rsid w:val="0072781A"/>
    <w:rsid w:val="007307A0"/>
    <w:rsid w:val="00731A75"/>
    <w:rsid w:val="00731DD3"/>
    <w:rsid w:val="00732FBC"/>
    <w:rsid w:val="007334CA"/>
    <w:rsid w:val="00733F3A"/>
    <w:rsid w:val="007347B6"/>
    <w:rsid w:val="007347E6"/>
    <w:rsid w:val="00737AB8"/>
    <w:rsid w:val="00740F69"/>
    <w:rsid w:val="007422A2"/>
    <w:rsid w:val="00743AB9"/>
    <w:rsid w:val="00744DDA"/>
    <w:rsid w:val="00747D90"/>
    <w:rsid w:val="0075119A"/>
    <w:rsid w:val="007515F8"/>
    <w:rsid w:val="00751B73"/>
    <w:rsid w:val="007522C5"/>
    <w:rsid w:val="00752300"/>
    <w:rsid w:val="00752655"/>
    <w:rsid w:val="0075274B"/>
    <w:rsid w:val="00754565"/>
    <w:rsid w:val="007551E0"/>
    <w:rsid w:val="0075615E"/>
    <w:rsid w:val="007576D0"/>
    <w:rsid w:val="00757F62"/>
    <w:rsid w:val="00760076"/>
    <w:rsid w:val="00760E76"/>
    <w:rsid w:val="00761069"/>
    <w:rsid w:val="00762946"/>
    <w:rsid w:val="0076725C"/>
    <w:rsid w:val="0076778C"/>
    <w:rsid w:val="00767E31"/>
    <w:rsid w:val="0077079B"/>
    <w:rsid w:val="007709C1"/>
    <w:rsid w:val="00770A77"/>
    <w:rsid w:val="00770D81"/>
    <w:rsid w:val="007711F0"/>
    <w:rsid w:val="00771F01"/>
    <w:rsid w:val="00772646"/>
    <w:rsid w:val="00774D3D"/>
    <w:rsid w:val="00777108"/>
    <w:rsid w:val="007776BD"/>
    <w:rsid w:val="00777F4D"/>
    <w:rsid w:val="007806DD"/>
    <w:rsid w:val="00780B56"/>
    <w:rsid w:val="00783DA6"/>
    <w:rsid w:val="00784836"/>
    <w:rsid w:val="00784F2C"/>
    <w:rsid w:val="0078527C"/>
    <w:rsid w:val="00785DB3"/>
    <w:rsid w:val="007860CD"/>
    <w:rsid w:val="00786134"/>
    <w:rsid w:val="00786FA0"/>
    <w:rsid w:val="007915C4"/>
    <w:rsid w:val="00791913"/>
    <w:rsid w:val="007925A2"/>
    <w:rsid w:val="00792666"/>
    <w:rsid w:val="0079296B"/>
    <w:rsid w:val="00792D87"/>
    <w:rsid w:val="00794BC1"/>
    <w:rsid w:val="00795358"/>
    <w:rsid w:val="00795DC0"/>
    <w:rsid w:val="007969A2"/>
    <w:rsid w:val="007A037E"/>
    <w:rsid w:val="007A1828"/>
    <w:rsid w:val="007A3AC5"/>
    <w:rsid w:val="007A6227"/>
    <w:rsid w:val="007A68BE"/>
    <w:rsid w:val="007B2368"/>
    <w:rsid w:val="007B2562"/>
    <w:rsid w:val="007B3DE2"/>
    <w:rsid w:val="007B4253"/>
    <w:rsid w:val="007B4BAB"/>
    <w:rsid w:val="007B74AF"/>
    <w:rsid w:val="007B76F7"/>
    <w:rsid w:val="007C24F8"/>
    <w:rsid w:val="007C3EA2"/>
    <w:rsid w:val="007C7CA7"/>
    <w:rsid w:val="007D18B4"/>
    <w:rsid w:val="007D253E"/>
    <w:rsid w:val="007D3408"/>
    <w:rsid w:val="007D4CEE"/>
    <w:rsid w:val="007E09B8"/>
    <w:rsid w:val="007E15D7"/>
    <w:rsid w:val="007E210F"/>
    <w:rsid w:val="007E2BFD"/>
    <w:rsid w:val="007E2D41"/>
    <w:rsid w:val="007E30C8"/>
    <w:rsid w:val="007E335B"/>
    <w:rsid w:val="007E4FCC"/>
    <w:rsid w:val="007F0156"/>
    <w:rsid w:val="007F1089"/>
    <w:rsid w:val="007F1453"/>
    <w:rsid w:val="007F162F"/>
    <w:rsid w:val="007F199F"/>
    <w:rsid w:val="007F25F5"/>
    <w:rsid w:val="007F3021"/>
    <w:rsid w:val="007F3148"/>
    <w:rsid w:val="007F4F3E"/>
    <w:rsid w:val="00801930"/>
    <w:rsid w:val="00802268"/>
    <w:rsid w:val="00803029"/>
    <w:rsid w:val="00803F82"/>
    <w:rsid w:val="0080420B"/>
    <w:rsid w:val="00804911"/>
    <w:rsid w:val="00804A10"/>
    <w:rsid w:val="00805F66"/>
    <w:rsid w:val="00806E94"/>
    <w:rsid w:val="00813B10"/>
    <w:rsid w:val="00814312"/>
    <w:rsid w:val="0081457C"/>
    <w:rsid w:val="0081621E"/>
    <w:rsid w:val="00816BB6"/>
    <w:rsid w:val="00820AFF"/>
    <w:rsid w:val="00821006"/>
    <w:rsid w:val="00821322"/>
    <w:rsid w:val="0082169C"/>
    <w:rsid w:val="0082294A"/>
    <w:rsid w:val="008229B4"/>
    <w:rsid w:val="00824065"/>
    <w:rsid w:val="00824629"/>
    <w:rsid w:val="00826B2D"/>
    <w:rsid w:val="00832BE4"/>
    <w:rsid w:val="00832CEF"/>
    <w:rsid w:val="00833A82"/>
    <w:rsid w:val="008350E3"/>
    <w:rsid w:val="0083661A"/>
    <w:rsid w:val="00837707"/>
    <w:rsid w:val="00841256"/>
    <w:rsid w:val="0084152A"/>
    <w:rsid w:val="008421C6"/>
    <w:rsid w:val="008429C9"/>
    <w:rsid w:val="008436EC"/>
    <w:rsid w:val="008437E0"/>
    <w:rsid w:val="0084549A"/>
    <w:rsid w:val="00850D85"/>
    <w:rsid w:val="00852A21"/>
    <w:rsid w:val="00853940"/>
    <w:rsid w:val="00853C7F"/>
    <w:rsid w:val="0085499C"/>
    <w:rsid w:val="00855187"/>
    <w:rsid w:val="00856C39"/>
    <w:rsid w:val="0085703C"/>
    <w:rsid w:val="0085760F"/>
    <w:rsid w:val="00857D84"/>
    <w:rsid w:val="00860F8B"/>
    <w:rsid w:val="00861580"/>
    <w:rsid w:val="00861617"/>
    <w:rsid w:val="00861ADB"/>
    <w:rsid w:val="00864078"/>
    <w:rsid w:val="008647FE"/>
    <w:rsid w:val="0086488B"/>
    <w:rsid w:val="00864924"/>
    <w:rsid w:val="00864BA4"/>
    <w:rsid w:val="00864DCC"/>
    <w:rsid w:val="00865340"/>
    <w:rsid w:val="0086601A"/>
    <w:rsid w:val="0086640E"/>
    <w:rsid w:val="00866CF7"/>
    <w:rsid w:val="008703EB"/>
    <w:rsid w:val="00870736"/>
    <w:rsid w:val="00870A42"/>
    <w:rsid w:val="008717CC"/>
    <w:rsid w:val="00872977"/>
    <w:rsid w:val="008730D6"/>
    <w:rsid w:val="00873990"/>
    <w:rsid w:val="00875385"/>
    <w:rsid w:val="00876545"/>
    <w:rsid w:val="00876F48"/>
    <w:rsid w:val="008817ED"/>
    <w:rsid w:val="00881823"/>
    <w:rsid w:val="00884CD1"/>
    <w:rsid w:val="008856AB"/>
    <w:rsid w:val="0088617D"/>
    <w:rsid w:val="0088692F"/>
    <w:rsid w:val="00887A00"/>
    <w:rsid w:val="008903D0"/>
    <w:rsid w:val="00891FEA"/>
    <w:rsid w:val="008932BE"/>
    <w:rsid w:val="00893CF6"/>
    <w:rsid w:val="00894011"/>
    <w:rsid w:val="0089456A"/>
    <w:rsid w:val="00896882"/>
    <w:rsid w:val="00897F04"/>
    <w:rsid w:val="008A10FA"/>
    <w:rsid w:val="008A1919"/>
    <w:rsid w:val="008A2029"/>
    <w:rsid w:val="008A2066"/>
    <w:rsid w:val="008A33BA"/>
    <w:rsid w:val="008A3BE2"/>
    <w:rsid w:val="008A4DD3"/>
    <w:rsid w:val="008A6E4C"/>
    <w:rsid w:val="008A7B9E"/>
    <w:rsid w:val="008B1CA7"/>
    <w:rsid w:val="008B2CA5"/>
    <w:rsid w:val="008B339F"/>
    <w:rsid w:val="008B3A83"/>
    <w:rsid w:val="008B42F7"/>
    <w:rsid w:val="008B679E"/>
    <w:rsid w:val="008C0AE2"/>
    <w:rsid w:val="008C0B92"/>
    <w:rsid w:val="008C17B0"/>
    <w:rsid w:val="008C2B7D"/>
    <w:rsid w:val="008C45A4"/>
    <w:rsid w:val="008C49DE"/>
    <w:rsid w:val="008C5729"/>
    <w:rsid w:val="008D0730"/>
    <w:rsid w:val="008D1385"/>
    <w:rsid w:val="008D1D67"/>
    <w:rsid w:val="008D30A6"/>
    <w:rsid w:val="008D349C"/>
    <w:rsid w:val="008D38DE"/>
    <w:rsid w:val="008D51B4"/>
    <w:rsid w:val="008D5739"/>
    <w:rsid w:val="008D5A90"/>
    <w:rsid w:val="008D6884"/>
    <w:rsid w:val="008E1097"/>
    <w:rsid w:val="008E2026"/>
    <w:rsid w:val="008E266E"/>
    <w:rsid w:val="008E6407"/>
    <w:rsid w:val="008E6F38"/>
    <w:rsid w:val="008F0F67"/>
    <w:rsid w:val="008F1112"/>
    <w:rsid w:val="008F1170"/>
    <w:rsid w:val="008F1591"/>
    <w:rsid w:val="008F1823"/>
    <w:rsid w:val="008F1F0E"/>
    <w:rsid w:val="008F1F70"/>
    <w:rsid w:val="008F204D"/>
    <w:rsid w:val="008F22A1"/>
    <w:rsid w:val="008F2778"/>
    <w:rsid w:val="008F2A7E"/>
    <w:rsid w:val="008F2B1D"/>
    <w:rsid w:val="008F3941"/>
    <w:rsid w:val="008F4ECF"/>
    <w:rsid w:val="008F772F"/>
    <w:rsid w:val="008F7A37"/>
    <w:rsid w:val="00900C1B"/>
    <w:rsid w:val="009034C8"/>
    <w:rsid w:val="00904019"/>
    <w:rsid w:val="0090479A"/>
    <w:rsid w:val="00904B65"/>
    <w:rsid w:val="009065C8"/>
    <w:rsid w:val="009066EB"/>
    <w:rsid w:val="009077F4"/>
    <w:rsid w:val="00910F94"/>
    <w:rsid w:val="00912485"/>
    <w:rsid w:val="009132EA"/>
    <w:rsid w:val="00913AD7"/>
    <w:rsid w:val="009144EB"/>
    <w:rsid w:val="0091496A"/>
    <w:rsid w:val="00914F04"/>
    <w:rsid w:val="00915144"/>
    <w:rsid w:val="0091586B"/>
    <w:rsid w:val="00916761"/>
    <w:rsid w:val="0092025D"/>
    <w:rsid w:val="0092072A"/>
    <w:rsid w:val="0092134A"/>
    <w:rsid w:val="00921F60"/>
    <w:rsid w:val="0092279E"/>
    <w:rsid w:val="00922A6D"/>
    <w:rsid w:val="009235A9"/>
    <w:rsid w:val="00923977"/>
    <w:rsid w:val="00923B63"/>
    <w:rsid w:val="00923C69"/>
    <w:rsid w:val="00924019"/>
    <w:rsid w:val="0092613B"/>
    <w:rsid w:val="009265F9"/>
    <w:rsid w:val="00931031"/>
    <w:rsid w:val="00931FB6"/>
    <w:rsid w:val="00932A54"/>
    <w:rsid w:val="00933D46"/>
    <w:rsid w:val="009421CC"/>
    <w:rsid w:val="00943E83"/>
    <w:rsid w:val="00945425"/>
    <w:rsid w:val="009474B4"/>
    <w:rsid w:val="00950EBC"/>
    <w:rsid w:val="009535B0"/>
    <w:rsid w:val="00953823"/>
    <w:rsid w:val="00954802"/>
    <w:rsid w:val="009569A7"/>
    <w:rsid w:val="00960A1A"/>
    <w:rsid w:val="009617D0"/>
    <w:rsid w:val="00962573"/>
    <w:rsid w:val="00963F12"/>
    <w:rsid w:val="00966380"/>
    <w:rsid w:val="0097001E"/>
    <w:rsid w:val="009719A8"/>
    <w:rsid w:val="00973F48"/>
    <w:rsid w:val="0097571C"/>
    <w:rsid w:val="0097580B"/>
    <w:rsid w:val="00975C5E"/>
    <w:rsid w:val="00976158"/>
    <w:rsid w:val="009764F0"/>
    <w:rsid w:val="0098025A"/>
    <w:rsid w:val="009811DF"/>
    <w:rsid w:val="00981BF4"/>
    <w:rsid w:val="00981C86"/>
    <w:rsid w:val="00982423"/>
    <w:rsid w:val="00982EA2"/>
    <w:rsid w:val="00983A31"/>
    <w:rsid w:val="009841B8"/>
    <w:rsid w:val="0098699F"/>
    <w:rsid w:val="00987032"/>
    <w:rsid w:val="009918FC"/>
    <w:rsid w:val="00991DE9"/>
    <w:rsid w:val="00992EE4"/>
    <w:rsid w:val="0099534C"/>
    <w:rsid w:val="009957C2"/>
    <w:rsid w:val="00997432"/>
    <w:rsid w:val="009979FF"/>
    <w:rsid w:val="009A0D7D"/>
    <w:rsid w:val="009A1B63"/>
    <w:rsid w:val="009A2A5E"/>
    <w:rsid w:val="009A30A9"/>
    <w:rsid w:val="009A3A8F"/>
    <w:rsid w:val="009A4C95"/>
    <w:rsid w:val="009A52D5"/>
    <w:rsid w:val="009A5598"/>
    <w:rsid w:val="009A5F9C"/>
    <w:rsid w:val="009A66DE"/>
    <w:rsid w:val="009A6EDD"/>
    <w:rsid w:val="009A71C6"/>
    <w:rsid w:val="009B15BD"/>
    <w:rsid w:val="009B1695"/>
    <w:rsid w:val="009B2E88"/>
    <w:rsid w:val="009B2EAA"/>
    <w:rsid w:val="009B3676"/>
    <w:rsid w:val="009B5E41"/>
    <w:rsid w:val="009B6619"/>
    <w:rsid w:val="009B74AC"/>
    <w:rsid w:val="009C1371"/>
    <w:rsid w:val="009C17F6"/>
    <w:rsid w:val="009C2876"/>
    <w:rsid w:val="009C2E0A"/>
    <w:rsid w:val="009C35A0"/>
    <w:rsid w:val="009C3C18"/>
    <w:rsid w:val="009C3FD8"/>
    <w:rsid w:val="009C5FE0"/>
    <w:rsid w:val="009D06D2"/>
    <w:rsid w:val="009D1D6C"/>
    <w:rsid w:val="009D43F6"/>
    <w:rsid w:val="009D59FE"/>
    <w:rsid w:val="009E04FF"/>
    <w:rsid w:val="009E0847"/>
    <w:rsid w:val="009E1B81"/>
    <w:rsid w:val="009E2DCA"/>
    <w:rsid w:val="009E3AA1"/>
    <w:rsid w:val="009E4670"/>
    <w:rsid w:val="009E4D67"/>
    <w:rsid w:val="009E5192"/>
    <w:rsid w:val="009F06F1"/>
    <w:rsid w:val="009F1544"/>
    <w:rsid w:val="009F20AD"/>
    <w:rsid w:val="009F2AEC"/>
    <w:rsid w:val="009F3FD2"/>
    <w:rsid w:val="009F652D"/>
    <w:rsid w:val="009F7389"/>
    <w:rsid w:val="009F75AC"/>
    <w:rsid w:val="00A00116"/>
    <w:rsid w:val="00A01EAA"/>
    <w:rsid w:val="00A02D79"/>
    <w:rsid w:val="00A03DB2"/>
    <w:rsid w:val="00A04D18"/>
    <w:rsid w:val="00A062DD"/>
    <w:rsid w:val="00A11A85"/>
    <w:rsid w:val="00A11E5B"/>
    <w:rsid w:val="00A14666"/>
    <w:rsid w:val="00A15A39"/>
    <w:rsid w:val="00A15A43"/>
    <w:rsid w:val="00A1609D"/>
    <w:rsid w:val="00A169FB"/>
    <w:rsid w:val="00A17D5E"/>
    <w:rsid w:val="00A20951"/>
    <w:rsid w:val="00A21DEE"/>
    <w:rsid w:val="00A22C4C"/>
    <w:rsid w:val="00A22FE1"/>
    <w:rsid w:val="00A245B5"/>
    <w:rsid w:val="00A24A4A"/>
    <w:rsid w:val="00A25ACC"/>
    <w:rsid w:val="00A2625B"/>
    <w:rsid w:val="00A306C5"/>
    <w:rsid w:val="00A30BF9"/>
    <w:rsid w:val="00A31719"/>
    <w:rsid w:val="00A31AE9"/>
    <w:rsid w:val="00A32947"/>
    <w:rsid w:val="00A32F39"/>
    <w:rsid w:val="00A33A3A"/>
    <w:rsid w:val="00A35921"/>
    <w:rsid w:val="00A36D5B"/>
    <w:rsid w:val="00A37FF0"/>
    <w:rsid w:val="00A4036D"/>
    <w:rsid w:val="00A416CF"/>
    <w:rsid w:val="00A4324D"/>
    <w:rsid w:val="00A4480D"/>
    <w:rsid w:val="00A454D7"/>
    <w:rsid w:val="00A46C51"/>
    <w:rsid w:val="00A47443"/>
    <w:rsid w:val="00A476F2"/>
    <w:rsid w:val="00A5034E"/>
    <w:rsid w:val="00A50C09"/>
    <w:rsid w:val="00A50FF8"/>
    <w:rsid w:val="00A53DAD"/>
    <w:rsid w:val="00A54CDE"/>
    <w:rsid w:val="00A55CA4"/>
    <w:rsid w:val="00A56570"/>
    <w:rsid w:val="00A56B74"/>
    <w:rsid w:val="00A6174A"/>
    <w:rsid w:val="00A61ECC"/>
    <w:rsid w:val="00A63C8C"/>
    <w:rsid w:val="00A65479"/>
    <w:rsid w:val="00A66AEC"/>
    <w:rsid w:val="00A67678"/>
    <w:rsid w:val="00A67721"/>
    <w:rsid w:val="00A6795C"/>
    <w:rsid w:val="00A67A5F"/>
    <w:rsid w:val="00A711E2"/>
    <w:rsid w:val="00A71DA0"/>
    <w:rsid w:val="00A71F5E"/>
    <w:rsid w:val="00A736A0"/>
    <w:rsid w:val="00A74720"/>
    <w:rsid w:val="00A74A91"/>
    <w:rsid w:val="00A76211"/>
    <w:rsid w:val="00A80BC1"/>
    <w:rsid w:val="00A8110C"/>
    <w:rsid w:val="00A814A0"/>
    <w:rsid w:val="00A8217B"/>
    <w:rsid w:val="00A82523"/>
    <w:rsid w:val="00A842B7"/>
    <w:rsid w:val="00A85507"/>
    <w:rsid w:val="00A914E3"/>
    <w:rsid w:val="00A916F4"/>
    <w:rsid w:val="00A9196F"/>
    <w:rsid w:val="00A922FF"/>
    <w:rsid w:val="00A92723"/>
    <w:rsid w:val="00A9363C"/>
    <w:rsid w:val="00AA07FD"/>
    <w:rsid w:val="00AA135D"/>
    <w:rsid w:val="00AA151C"/>
    <w:rsid w:val="00AA1C6A"/>
    <w:rsid w:val="00AA6A7D"/>
    <w:rsid w:val="00AB027C"/>
    <w:rsid w:val="00AB080B"/>
    <w:rsid w:val="00AB18EC"/>
    <w:rsid w:val="00AB32B5"/>
    <w:rsid w:val="00AB3DC9"/>
    <w:rsid w:val="00AB4B56"/>
    <w:rsid w:val="00AB57CE"/>
    <w:rsid w:val="00AB5F95"/>
    <w:rsid w:val="00AB641E"/>
    <w:rsid w:val="00AB6C8A"/>
    <w:rsid w:val="00AB6FD9"/>
    <w:rsid w:val="00AB769D"/>
    <w:rsid w:val="00AB7C94"/>
    <w:rsid w:val="00AB7D7F"/>
    <w:rsid w:val="00AC05BB"/>
    <w:rsid w:val="00AC15DD"/>
    <w:rsid w:val="00AC1983"/>
    <w:rsid w:val="00AC19BA"/>
    <w:rsid w:val="00AC3219"/>
    <w:rsid w:val="00AC3CD8"/>
    <w:rsid w:val="00AC4161"/>
    <w:rsid w:val="00AC5CFB"/>
    <w:rsid w:val="00AC7E05"/>
    <w:rsid w:val="00AD06D8"/>
    <w:rsid w:val="00AD2810"/>
    <w:rsid w:val="00AD2992"/>
    <w:rsid w:val="00AD2B52"/>
    <w:rsid w:val="00AD2BD2"/>
    <w:rsid w:val="00AD5494"/>
    <w:rsid w:val="00AD5F03"/>
    <w:rsid w:val="00AD70F8"/>
    <w:rsid w:val="00AD7144"/>
    <w:rsid w:val="00AD72CC"/>
    <w:rsid w:val="00AE1AE2"/>
    <w:rsid w:val="00AE2011"/>
    <w:rsid w:val="00AE2638"/>
    <w:rsid w:val="00AE2DA4"/>
    <w:rsid w:val="00AE2F6E"/>
    <w:rsid w:val="00AE5A83"/>
    <w:rsid w:val="00AE6467"/>
    <w:rsid w:val="00AE674B"/>
    <w:rsid w:val="00AE684E"/>
    <w:rsid w:val="00AE76DE"/>
    <w:rsid w:val="00AE7CC5"/>
    <w:rsid w:val="00AF0AE6"/>
    <w:rsid w:val="00AF253C"/>
    <w:rsid w:val="00AF351E"/>
    <w:rsid w:val="00AF3FF4"/>
    <w:rsid w:val="00AF5580"/>
    <w:rsid w:val="00AF5AAA"/>
    <w:rsid w:val="00B0012D"/>
    <w:rsid w:val="00B00F4D"/>
    <w:rsid w:val="00B01773"/>
    <w:rsid w:val="00B020C7"/>
    <w:rsid w:val="00B039D3"/>
    <w:rsid w:val="00B052BD"/>
    <w:rsid w:val="00B05572"/>
    <w:rsid w:val="00B05F3B"/>
    <w:rsid w:val="00B10301"/>
    <w:rsid w:val="00B1369B"/>
    <w:rsid w:val="00B138F2"/>
    <w:rsid w:val="00B14811"/>
    <w:rsid w:val="00B16502"/>
    <w:rsid w:val="00B17B02"/>
    <w:rsid w:val="00B21858"/>
    <w:rsid w:val="00B21CFF"/>
    <w:rsid w:val="00B2322E"/>
    <w:rsid w:val="00B23612"/>
    <w:rsid w:val="00B23613"/>
    <w:rsid w:val="00B25795"/>
    <w:rsid w:val="00B26EB8"/>
    <w:rsid w:val="00B3532B"/>
    <w:rsid w:val="00B37121"/>
    <w:rsid w:val="00B371FD"/>
    <w:rsid w:val="00B37354"/>
    <w:rsid w:val="00B40DCC"/>
    <w:rsid w:val="00B42070"/>
    <w:rsid w:val="00B42804"/>
    <w:rsid w:val="00B42882"/>
    <w:rsid w:val="00B43C19"/>
    <w:rsid w:val="00B45EAF"/>
    <w:rsid w:val="00B5035E"/>
    <w:rsid w:val="00B512C8"/>
    <w:rsid w:val="00B5253D"/>
    <w:rsid w:val="00B543B4"/>
    <w:rsid w:val="00B54864"/>
    <w:rsid w:val="00B548AF"/>
    <w:rsid w:val="00B54A00"/>
    <w:rsid w:val="00B54FAA"/>
    <w:rsid w:val="00B5691F"/>
    <w:rsid w:val="00B56C86"/>
    <w:rsid w:val="00B6025F"/>
    <w:rsid w:val="00B60766"/>
    <w:rsid w:val="00B629BD"/>
    <w:rsid w:val="00B6348A"/>
    <w:rsid w:val="00B65306"/>
    <w:rsid w:val="00B673BB"/>
    <w:rsid w:val="00B7199D"/>
    <w:rsid w:val="00B737DC"/>
    <w:rsid w:val="00B73877"/>
    <w:rsid w:val="00B74C13"/>
    <w:rsid w:val="00B74D69"/>
    <w:rsid w:val="00B75205"/>
    <w:rsid w:val="00B75825"/>
    <w:rsid w:val="00B7611C"/>
    <w:rsid w:val="00B76341"/>
    <w:rsid w:val="00B7663B"/>
    <w:rsid w:val="00B7684A"/>
    <w:rsid w:val="00B80AF3"/>
    <w:rsid w:val="00B82F54"/>
    <w:rsid w:val="00B83A9C"/>
    <w:rsid w:val="00B85115"/>
    <w:rsid w:val="00B85918"/>
    <w:rsid w:val="00B85EBE"/>
    <w:rsid w:val="00B866EA"/>
    <w:rsid w:val="00B86835"/>
    <w:rsid w:val="00B900AD"/>
    <w:rsid w:val="00B9059F"/>
    <w:rsid w:val="00B9354B"/>
    <w:rsid w:val="00B96B7E"/>
    <w:rsid w:val="00BA1D85"/>
    <w:rsid w:val="00BA29BD"/>
    <w:rsid w:val="00BA69A8"/>
    <w:rsid w:val="00BA69D2"/>
    <w:rsid w:val="00BA6E82"/>
    <w:rsid w:val="00BA7502"/>
    <w:rsid w:val="00BB0F9B"/>
    <w:rsid w:val="00BB39CD"/>
    <w:rsid w:val="00BB40DD"/>
    <w:rsid w:val="00BB42F0"/>
    <w:rsid w:val="00BB4552"/>
    <w:rsid w:val="00BB5751"/>
    <w:rsid w:val="00BB72BB"/>
    <w:rsid w:val="00BB7BDD"/>
    <w:rsid w:val="00BC0DBF"/>
    <w:rsid w:val="00BC16EE"/>
    <w:rsid w:val="00BC1C65"/>
    <w:rsid w:val="00BC3A35"/>
    <w:rsid w:val="00BC3CCF"/>
    <w:rsid w:val="00BC4148"/>
    <w:rsid w:val="00BC447A"/>
    <w:rsid w:val="00BC5612"/>
    <w:rsid w:val="00BC5C07"/>
    <w:rsid w:val="00BC6B51"/>
    <w:rsid w:val="00BC6C18"/>
    <w:rsid w:val="00BC7242"/>
    <w:rsid w:val="00BD023B"/>
    <w:rsid w:val="00BD0939"/>
    <w:rsid w:val="00BD0CFD"/>
    <w:rsid w:val="00BD1374"/>
    <w:rsid w:val="00BD1EEB"/>
    <w:rsid w:val="00BD2984"/>
    <w:rsid w:val="00BD353C"/>
    <w:rsid w:val="00BD3F63"/>
    <w:rsid w:val="00BD42DD"/>
    <w:rsid w:val="00BD43C1"/>
    <w:rsid w:val="00BD7BD4"/>
    <w:rsid w:val="00BE10B2"/>
    <w:rsid w:val="00BE440F"/>
    <w:rsid w:val="00BE4CB7"/>
    <w:rsid w:val="00BE581F"/>
    <w:rsid w:val="00BF0655"/>
    <w:rsid w:val="00BF2072"/>
    <w:rsid w:val="00BF461D"/>
    <w:rsid w:val="00BF6AEF"/>
    <w:rsid w:val="00BF6D97"/>
    <w:rsid w:val="00BF703B"/>
    <w:rsid w:val="00BF7B31"/>
    <w:rsid w:val="00C005C6"/>
    <w:rsid w:val="00C0074A"/>
    <w:rsid w:val="00C00AB2"/>
    <w:rsid w:val="00C00C04"/>
    <w:rsid w:val="00C0171D"/>
    <w:rsid w:val="00C03CBB"/>
    <w:rsid w:val="00C0593D"/>
    <w:rsid w:val="00C05C28"/>
    <w:rsid w:val="00C13457"/>
    <w:rsid w:val="00C13757"/>
    <w:rsid w:val="00C15BBA"/>
    <w:rsid w:val="00C16045"/>
    <w:rsid w:val="00C16051"/>
    <w:rsid w:val="00C160A5"/>
    <w:rsid w:val="00C21BCD"/>
    <w:rsid w:val="00C23154"/>
    <w:rsid w:val="00C234E1"/>
    <w:rsid w:val="00C253DC"/>
    <w:rsid w:val="00C25564"/>
    <w:rsid w:val="00C25835"/>
    <w:rsid w:val="00C27C34"/>
    <w:rsid w:val="00C3054C"/>
    <w:rsid w:val="00C31134"/>
    <w:rsid w:val="00C31B01"/>
    <w:rsid w:val="00C31D21"/>
    <w:rsid w:val="00C329BF"/>
    <w:rsid w:val="00C32E84"/>
    <w:rsid w:val="00C33387"/>
    <w:rsid w:val="00C337F4"/>
    <w:rsid w:val="00C353AA"/>
    <w:rsid w:val="00C35C3D"/>
    <w:rsid w:val="00C36821"/>
    <w:rsid w:val="00C37209"/>
    <w:rsid w:val="00C3725C"/>
    <w:rsid w:val="00C37E91"/>
    <w:rsid w:val="00C40956"/>
    <w:rsid w:val="00C41360"/>
    <w:rsid w:val="00C4146B"/>
    <w:rsid w:val="00C4146D"/>
    <w:rsid w:val="00C42098"/>
    <w:rsid w:val="00C428B1"/>
    <w:rsid w:val="00C44DC9"/>
    <w:rsid w:val="00C46302"/>
    <w:rsid w:val="00C46634"/>
    <w:rsid w:val="00C47F55"/>
    <w:rsid w:val="00C5058D"/>
    <w:rsid w:val="00C51243"/>
    <w:rsid w:val="00C53346"/>
    <w:rsid w:val="00C575EC"/>
    <w:rsid w:val="00C57D08"/>
    <w:rsid w:val="00C604B5"/>
    <w:rsid w:val="00C61019"/>
    <w:rsid w:val="00C64BCE"/>
    <w:rsid w:val="00C66389"/>
    <w:rsid w:val="00C70E88"/>
    <w:rsid w:val="00C714FF"/>
    <w:rsid w:val="00C73785"/>
    <w:rsid w:val="00C73ADC"/>
    <w:rsid w:val="00C73E1B"/>
    <w:rsid w:val="00C757AA"/>
    <w:rsid w:val="00C7585E"/>
    <w:rsid w:val="00C769E1"/>
    <w:rsid w:val="00C7743F"/>
    <w:rsid w:val="00C77B8A"/>
    <w:rsid w:val="00C8026E"/>
    <w:rsid w:val="00C82031"/>
    <w:rsid w:val="00C820AA"/>
    <w:rsid w:val="00C8216E"/>
    <w:rsid w:val="00C83BB9"/>
    <w:rsid w:val="00C84B6A"/>
    <w:rsid w:val="00C86295"/>
    <w:rsid w:val="00C863CC"/>
    <w:rsid w:val="00C875B3"/>
    <w:rsid w:val="00C90D52"/>
    <w:rsid w:val="00C92732"/>
    <w:rsid w:val="00C92D6B"/>
    <w:rsid w:val="00C946BA"/>
    <w:rsid w:val="00C94F06"/>
    <w:rsid w:val="00C9538F"/>
    <w:rsid w:val="00C958C1"/>
    <w:rsid w:val="00CA0107"/>
    <w:rsid w:val="00CA02B0"/>
    <w:rsid w:val="00CA0FFB"/>
    <w:rsid w:val="00CA2284"/>
    <w:rsid w:val="00CA50D2"/>
    <w:rsid w:val="00CA5C26"/>
    <w:rsid w:val="00CA7699"/>
    <w:rsid w:val="00CB2334"/>
    <w:rsid w:val="00CB30C5"/>
    <w:rsid w:val="00CB41C8"/>
    <w:rsid w:val="00CB792F"/>
    <w:rsid w:val="00CC1000"/>
    <w:rsid w:val="00CC11D5"/>
    <w:rsid w:val="00CC24D7"/>
    <w:rsid w:val="00CC2B07"/>
    <w:rsid w:val="00CC30C8"/>
    <w:rsid w:val="00CC312D"/>
    <w:rsid w:val="00CC5AA5"/>
    <w:rsid w:val="00CC6284"/>
    <w:rsid w:val="00CC7AFF"/>
    <w:rsid w:val="00CD07C0"/>
    <w:rsid w:val="00CD4714"/>
    <w:rsid w:val="00CD581E"/>
    <w:rsid w:val="00CD7C7D"/>
    <w:rsid w:val="00CE2E37"/>
    <w:rsid w:val="00CE3309"/>
    <w:rsid w:val="00CE4C64"/>
    <w:rsid w:val="00CE51FD"/>
    <w:rsid w:val="00CE5542"/>
    <w:rsid w:val="00CE7A85"/>
    <w:rsid w:val="00CF223A"/>
    <w:rsid w:val="00CF26D3"/>
    <w:rsid w:val="00CF45C3"/>
    <w:rsid w:val="00CF4F4C"/>
    <w:rsid w:val="00CF6E2A"/>
    <w:rsid w:val="00CF74F1"/>
    <w:rsid w:val="00D0019A"/>
    <w:rsid w:val="00D04BC2"/>
    <w:rsid w:val="00D05F50"/>
    <w:rsid w:val="00D0634B"/>
    <w:rsid w:val="00D07288"/>
    <w:rsid w:val="00D07322"/>
    <w:rsid w:val="00D07529"/>
    <w:rsid w:val="00D109DC"/>
    <w:rsid w:val="00D12244"/>
    <w:rsid w:val="00D12EE0"/>
    <w:rsid w:val="00D137D6"/>
    <w:rsid w:val="00D21036"/>
    <w:rsid w:val="00D21649"/>
    <w:rsid w:val="00D22D8E"/>
    <w:rsid w:val="00D23F79"/>
    <w:rsid w:val="00D2427B"/>
    <w:rsid w:val="00D24B5B"/>
    <w:rsid w:val="00D25625"/>
    <w:rsid w:val="00D27DA2"/>
    <w:rsid w:val="00D32199"/>
    <w:rsid w:val="00D32654"/>
    <w:rsid w:val="00D32879"/>
    <w:rsid w:val="00D33F24"/>
    <w:rsid w:val="00D357B3"/>
    <w:rsid w:val="00D37027"/>
    <w:rsid w:val="00D375A6"/>
    <w:rsid w:val="00D37807"/>
    <w:rsid w:val="00D406FE"/>
    <w:rsid w:val="00D408D3"/>
    <w:rsid w:val="00D42980"/>
    <w:rsid w:val="00D4510E"/>
    <w:rsid w:val="00D47F18"/>
    <w:rsid w:val="00D50917"/>
    <w:rsid w:val="00D50DB8"/>
    <w:rsid w:val="00D50F33"/>
    <w:rsid w:val="00D51DEE"/>
    <w:rsid w:val="00D52FC6"/>
    <w:rsid w:val="00D54E26"/>
    <w:rsid w:val="00D554A3"/>
    <w:rsid w:val="00D563D8"/>
    <w:rsid w:val="00D563EC"/>
    <w:rsid w:val="00D56736"/>
    <w:rsid w:val="00D56F2D"/>
    <w:rsid w:val="00D57830"/>
    <w:rsid w:val="00D601AE"/>
    <w:rsid w:val="00D612FC"/>
    <w:rsid w:val="00D64D26"/>
    <w:rsid w:val="00D660A7"/>
    <w:rsid w:val="00D6779D"/>
    <w:rsid w:val="00D7056E"/>
    <w:rsid w:val="00D71262"/>
    <w:rsid w:val="00D7240E"/>
    <w:rsid w:val="00D734AF"/>
    <w:rsid w:val="00D73804"/>
    <w:rsid w:val="00D73A70"/>
    <w:rsid w:val="00D73D74"/>
    <w:rsid w:val="00D76FCB"/>
    <w:rsid w:val="00D77459"/>
    <w:rsid w:val="00D7790C"/>
    <w:rsid w:val="00D80CBC"/>
    <w:rsid w:val="00D8174C"/>
    <w:rsid w:val="00D82CBA"/>
    <w:rsid w:val="00D83E5F"/>
    <w:rsid w:val="00D8512A"/>
    <w:rsid w:val="00D8752D"/>
    <w:rsid w:val="00D87902"/>
    <w:rsid w:val="00D906F2"/>
    <w:rsid w:val="00D923B4"/>
    <w:rsid w:val="00D9386A"/>
    <w:rsid w:val="00D9396B"/>
    <w:rsid w:val="00D95FBE"/>
    <w:rsid w:val="00D964D0"/>
    <w:rsid w:val="00D96658"/>
    <w:rsid w:val="00D972FA"/>
    <w:rsid w:val="00D97C97"/>
    <w:rsid w:val="00DA0D43"/>
    <w:rsid w:val="00DA17E7"/>
    <w:rsid w:val="00DA2075"/>
    <w:rsid w:val="00DA2602"/>
    <w:rsid w:val="00DA3427"/>
    <w:rsid w:val="00DA415F"/>
    <w:rsid w:val="00DA4EDA"/>
    <w:rsid w:val="00DA6010"/>
    <w:rsid w:val="00DB045F"/>
    <w:rsid w:val="00DB09BF"/>
    <w:rsid w:val="00DB1FFB"/>
    <w:rsid w:val="00DB210C"/>
    <w:rsid w:val="00DB417F"/>
    <w:rsid w:val="00DB539A"/>
    <w:rsid w:val="00DB5C7E"/>
    <w:rsid w:val="00DB70EB"/>
    <w:rsid w:val="00DB7353"/>
    <w:rsid w:val="00DB7D24"/>
    <w:rsid w:val="00DC13D5"/>
    <w:rsid w:val="00DC381C"/>
    <w:rsid w:val="00DC420A"/>
    <w:rsid w:val="00DC4F88"/>
    <w:rsid w:val="00DC6944"/>
    <w:rsid w:val="00DD0EE1"/>
    <w:rsid w:val="00DD11CC"/>
    <w:rsid w:val="00DD352B"/>
    <w:rsid w:val="00DD37E9"/>
    <w:rsid w:val="00DD5AE0"/>
    <w:rsid w:val="00DE16D0"/>
    <w:rsid w:val="00DE24CC"/>
    <w:rsid w:val="00DE31A7"/>
    <w:rsid w:val="00DE41EA"/>
    <w:rsid w:val="00DE53AA"/>
    <w:rsid w:val="00DE5449"/>
    <w:rsid w:val="00DE5D2F"/>
    <w:rsid w:val="00DE72DF"/>
    <w:rsid w:val="00DF23AE"/>
    <w:rsid w:val="00DF280F"/>
    <w:rsid w:val="00DF2ED2"/>
    <w:rsid w:val="00DF6641"/>
    <w:rsid w:val="00DF6758"/>
    <w:rsid w:val="00DF720C"/>
    <w:rsid w:val="00DF75F5"/>
    <w:rsid w:val="00DF7B48"/>
    <w:rsid w:val="00E010A9"/>
    <w:rsid w:val="00E03022"/>
    <w:rsid w:val="00E03CBD"/>
    <w:rsid w:val="00E04490"/>
    <w:rsid w:val="00E05428"/>
    <w:rsid w:val="00E10250"/>
    <w:rsid w:val="00E1053E"/>
    <w:rsid w:val="00E10982"/>
    <w:rsid w:val="00E11055"/>
    <w:rsid w:val="00E12359"/>
    <w:rsid w:val="00E14231"/>
    <w:rsid w:val="00E14629"/>
    <w:rsid w:val="00E2025D"/>
    <w:rsid w:val="00E2117B"/>
    <w:rsid w:val="00E2157F"/>
    <w:rsid w:val="00E21D51"/>
    <w:rsid w:val="00E23771"/>
    <w:rsid w:val="00E2378C"/>
    <w:rsid w:val="00E23D59"/>
    <w:rsid w:val="00E24FF1"/>
    <w:rsid w:val="00E264B0"/>
    <w:rsid w:val="00E279BD"/>
    <w:rsid w:val="00E327BB"/>
    <w:rsid w:val="00E3322D"/>
    <w:rsid w:val="00E34D90"/>
    <w:rsid w:val="00E35B6F"/>
    <w:rsid w:val="00E35F1C"/>
    <w:rsid w:val="00E36C62"/>
    <w:rsid w:val="00E372F5"/>
    <w:rsid w:val="00E40773"/>
    <w:rsid w:val="00E408E3"/>
    <w:rsid w:val="00E414C7"/>
    <w:rsid w:val="00E43289"/>
    <w:rsid w:val="00E4487A"/>
    <w:rsid w:val="00E44C5F"/>
    <w:rsid w:val="00E4565A"/>
    <w:rsid w:val="00E45F8F"/>
    <w:rsid w:val="00E4756D"/>
    <w:rsid w:val="00E52E63"/>
    <w:rsid w:val="00E53231"/>
    <w:rsid w:val="00E535D5"/>
    <w:rsid w:val="00E53D8D"/>
    <w:rsid w:val="00E53F21"/>
    <w:rsid w:val="00E54490"/>
    <w:rsid w:val="00E558AA"/>
    <w:rsid w:val="00E558EB"/>
    <w:rsid w:val="00E55FF4"/>
    <w:rsid w:val="00E57944"/>
    <w:rsid w:val="00E60CDE"/>
    <w:rsid w:val="00E60ED7"/>
    <w:rsid w:val="00E61276"/>
    <w:rsid w:val="00E61E67"/>
    <w:rsid w:val="00E62029"/>
    <w:rsid w:val="00E63D8B"/>
    <w:rsid w:val="00E63FA4"/>
    <w:rsid w:val="00E64F6F"/>
    <w:rsid w:val="00E653D3"/>
    <w:rsid w:val="00E658C5"/>
    <w:rsid w:val="00E66D83"/>
    <w:rsid w:val="00E67551"/>
    <w:rsid w:val="00E70296"/>
    <w:rsid w:val="00E7160A"/>
    <w:rsid w:val="00E728B8"/>
    <w:rsid w:val="00E7291B"/>
    <w:rsid w:val="00E741C1"/>
    <w:rsid w:val="00E76936"/>
    <w:rsid w:val="00E76DFE"/>
    <w:rsid w:val="00E773C8"/>
    <w:rsid w:val="00E84917"/>
    <w:rsid w:val="00E85303"/>
    <w:rsid w:val="00E87725"/>
    <w:rsid w:val="00E9065B"/>
    <w:rsid w:val="00E91FFF"/>
    <w:rsid w:val="00E9217E"/>
    <w:rsid w:val="00E922DB"/>
    <w:rsid w:val="00E93E67"/>
    <w:rsid w:val="00E95501"/>
    <w:rsid w:val="00E9719B"/>
    <w:rsid w:val="00E97B09"/>
    <w:rsid w:val="00EA0AE8"/>
    <w:rsid w:val="00EA1A44"/>
    <w:rsid w:val="00EA3DE4"/>
    <w:rsid w:val="00EA4C15"/>
    <w:rsid w:val="00EA4D1B"/>
    <w:rsid w:val="00EA5C27"/>
    <w:rsid w:val="00EA6817"/>
    <w:rsid w:val="00EA6FCF"/>
    <w:rsid w:val="00EB19A2"/>
    <w:rsid w:val="00EB2494"/>
    <w:rsid w:val="00EB3ED4"/>
    <w:rsid w:val="00EB440B"/>
    <w:rsid w:val="00EB478B"/>
    <w:rsid w:val="00EB63FB"/>
    <w:rsid w:val="00EC03BF"/>
    <w:rsid w:val="00EC0D37"/>
    <w:rsid w:val="00EC0EB9"/>
    <w:rsid w:val="00EC1029"/>
    <w:rsid w:val="00EC1CF2"/>
    <w:rsid w:val="00EC2975"/>
    <w:rsid w:val="00EC2A99"/>
    <w:rsid w:val="00EC2E96"/>
    <w:rsid w:val="00EC2F0B"/>
    <w:rsid w:val="00EC37B1"/>
    <w:rsid w:val="00EC4C82"/>
    <w:rsid w:val="00EC5676"/>
    <w:rsid w:val="00EC56AE"/>
    <w:rsid w:val="00EC5C5C"/>
    <w:rsid w:val="00EC61ED"/>
    <w:rsid w:val="00EC63FB"/>
    <w:rsid w:val="00ED0F1E"/>
    <w:rsid w:val="00ED28B0"/>
    <w:rsid w:val="00ED3129"/>
    <w:rsid w:val="00ED3D0F"/>
    <w:rsid w:val="00ED51B9"/>
    <w:rsid w:val="00ED7549"/>
    <w:rsid w:val="00EE16E6"/>
    <w:rsid w:val="00EE1805"/>
    <w:rsid w:val="00EE1F33"/>
    <w:rsid w:val="00EE20D2"/>
    <w:rsid w:val="00EE2EFA"/>
    <w:rsid w:val="00EE2F1D"/>
    <w:rsid w:val="00EE3281"/>
    <w:rsid w:val="00EE4129"/>
    <w:rsid w:val="00EE4CCA"/>
    <w:rsid w:val="00EE5463"/>
    <w:rsid w:val="00EE5883"/>
    <w:rsid w:val="00EE6A43"/>
    <w:rsid w:val="00EF0160"/>
    <w:rsid w:val="00EF0FB4"/>
    <w:rsid w:val="00EF1380"/>
    <w:rsid w:val="00EF2A83"/>
    <w:rsid w:val="00EF455B"/>
    <w:rsid w:val="00EF54E1"/>
    <w:rsid w:val="00EF6FDE"/>
    <w:rsid w:val="00EF71CF"/>
    <w:rsid w:val="00EF72E9"/>
    <w:rsid w:val="00EF74EF"/>
    <w:rsid w:val="00EF77A3"/>
    <w:rsid w:val="00F0060B"/>
    <w:rsid w:val="00F00FA9"/>
    <w:rsid w:val="00F01186"/>
    <w:rsid w:val="00F0125A"/>
    <w:rsid w:val="00F02023"/>
    <w:rsid w:val="00F02B9B"/>
    <w:rsid w:val="00F030E2"/>
    <w:rsid w:val="00F05375"/>
    <w:rsid w:val="00F0612D"/>
    <w:rsid w:val="00F070D0"/>
    <w:rsid w:val="00F079D2"/>
    <w:rsid w:val="00F100F7"/>
    <w:rsid w:val="00F107A0"/>
    <w:rsid w:val="00F10F63"/>
    <w:rsid w:val="00F13416"/>
    <w:rsid w:val="00F162BB"/>
    <w:rsid w:val="00F16774"/>
    <w:rsid w:val="00F176B8"/>
    <w:rsid w:val="00F21486"/>
    <w:rsid w:val="00F223AD"/>
    <w:rsid w:val="00F24A4B"/>
    <w:rsid w:val="00F24A4D"/>
    <w:rsid w:val="00F2507E"/>
    <w:rsid w:val="00F2600F"/>
    <w:rsid w:val="00F3049F"/>
    <w:rsid w:val="00F30D28"/>
    <w:rsid w:val="00F32160"/>
    <w:rsid w:val="00F323D1"/>
    <w:rsid w:val="00F32AB3"/>
    <w:rsid w:val="00F34300"/>
    <w:rsid w:val="00F36CF4"/>
    <w:rsid w:val="00F378D5"/>
    <w:rsid w:val="00F37990"/>
    <w:rsid w:val="00F37BCB"/>
    <w:rsid w:val="00F37F87"/>
    <w:rsid w:val="00F41357"/>
    <w:rsid w:val="00F41F8B"/>
    <w:rsid w:val="00F44F4D"/>
    <w:rsid w:val="00F4783F"/>
    <w:rsid w:val="00F47972"/>
    <w:rsid w:val="00F47C92"/>
    <w:rsid w:val="00F5121A"/>
    <w:rsid w:val="00F51337"/>
    <w:rsid w:val="00F51FD2"/>
    <w:rsid w:val="00F528AE"/>
    <w:rsid w:val="00F53586"/>
    <w:rsid w:val="00F569B2"/>
    <w:rsid w:val="00F61511"/>
    <w:rsid w:val="00F619A6"/>
    <w:rsid w:val="00F6237E"/>
    <w:rsid w:val="00F62C3C"/>
    <w:rsid w:val="00F64B96"/>
    <w:rsid w:val="00F64BC6"/>
    <w:rsid w:val="00F64CF0"/>
    <w:rsid w:val="00F66F72"/>
    <w:rsid w:val="00F67AD6"/>
    <w:rsid w:val="00F70CB4"/>
    <w:rsid w:val="00F72002"/>
    <w:rsid w:val="00F76682"/>
    <w:rsid w:val="00F76BC8"/>
    <w:rsid w:val="00F81079"/>
    <w:rsid w:val="00F83A41"/>
    <w:rsid w:val="00F83E95"/>
    <w:rsid w:val="00F84766"/>
    <w:rsid w:val="00F855B5"/>
    <w:rsid w:val="00F87967"/>
    <w:rsid w:val="00F914B2"/>
    <w:rsid w:val="00F94414"/>
    <w:rsid w:val="00F959C5"/>
    <w:rsid w:val="00F9666C"/>
    <w:rsid w:val="00F97911"/>
    <w:rsid w:val="00FA0BA4"/>
    <w:rsid w:val="00FA0D0B"/>
    <w:rsid w:val="00FA145B"/>
    <w:rsid w:val="00FA22E2"/>
    <w:rsid w:val="00FA23BB"/>
    <w:rsid w:val="00FA519F"/>
    <w:rsid w:val="00FA5617"/>
    <w:rsid w:val="00FA61C7"/>
    <w:rsid w:val="00FA6552"/>
    <w:rsid w:val="00FA67E6"/>
    <w:rsid w:val="00FA6CD4"/>
    <w:rsid w:val="00FA7E36"/>
    <w:rsid w:val="00FB0AD7"/>
    <w:rsid w:val="00FB15D9"/>
    <w:rsid w:val="00FB3914"/>
    <w:rsid w:val="00FB3B10"/>
    <w:rsid w:val="00FB446F"/>
    <w:rsid w:val="00FB4E6E"/>
    <w:rsid w:val="00FB692D"/>
    <w:rsid w:val="00FB748C"/>
    <w:rsid w:val="00FC1065"/>
    <w:rsid w:val="00FC1D16"/>
    <w:rsid w:val="00FD25DA"/>
    <w:rsid w:val="00FD2962"/>
    <w:rsid w:val="00FD3A9E"/>
    <w:rsid w:val="00FD3D6D"/>
    <w:rsid w:val="00FD6409"/>
    <w:rsid w:val="00FE1A73"/>
    <w:rsid w:val="00FE2EC9"/>
    <w:rsid w:val="00FE2F77"/>
    <w:rsid w:val="00FE3599"/>
    <w:rsid w:val="00FE3949"/>
    <w:rsid w:val="00FE4068"/>
    <w:rsid w:val="00FE466A"/>
    <w:rsid w:val="00FE48C2"/>
    <w:rsid w:val="00FE491A"/>
    <w:rsid w:val="00FE7FC7"/>
    <w:rsid w:val="00FF141A"/>
    <w:rsid w:val="00FF15ED"/>
    <w:rsid w:val="00FF1B65"/>
    <w:rsid w:val="00FF1C33"/>
    <w:rsid w:val="00FF26B9"/>
    <w:rsid w:val="00FF2942"/>
    <w:rsid w:val="00FF4724"/>
    <w:rsid w:val="00FF4917"/>
    <w:rsid w:val="00FF739A"/>
    <w:rsid w:val="03AB7109"/>
    <w:rsid w:val="09F3E5B8"/>
    <w:rsid w:val="114167A0"/>
    <w:rsid w:val="1286E18F"/>
    <w:rsid w:val="13A56A14"/>
    <w:rsid w:val="153EAE2C"/>
    <w:rsid w:val="16AC4B10"/>
    <w:rsid w:val="17D55881"/>
    <w:rsid w:val="191B6B3B"/>
    <w:rsid w:val="1A72C657"/>
    <w:rsid w:val="1C9D2098"/>
    <w:rsid w:val="1CCDCB9C"/>
    <w:rsid w:val="200FA64E"/>
    <w:rsid w:val="2119625A"/>
    <w:rsid w:val="21FEE445"/>
    <w:rsid w:val="24002F21"/>
    <w:rsid w:val="2608FACF"/>
    <w:rsid w:val="26F3665A"/>
    <w:rsid w:val="2C1BB09E"/>
    <w:rsid w:val="2C31E7BB"/>
    <w:rsid w:val="2D3E8DD5"/>
    <w:rsid w:val="2DF58782"/>
    <w:rsid w:val="325CF881"/>
    <w:rsid w:val="34BD6480"/>
    <w:rsid w:val="3625DFE8"/>
    <w:rsid w:val="3711974B"/>
    <w:rsid w:val="3808F803"/>
    <w:rsid w:val="3B3DDF9F"/>
    <w:rsid w:val="3FE65816"/>
    <w:rsid w:val="420E0472"/>
    <w:rsid w:val="43FF456C"/>
    <w:rsid w:val="4A1B17B1"/>
    <w:rsid w:val="504C2C44"/>
    <w:rsid w:val="545EA58A"/>
    <w:rsid w:val="5811B92C"/>
    <w:rsid w:val="5B87DF5D"/>
    <w:rsid w:val="5B9DE34B"/>
    <w:rsid w:val="5EB8C328"/>
    <w:rsid w:val="6005544A"/>
    <w:rsid w:val="64CE49ED"/>
    <w:rsid w:val="65601A79"/>
    <w:rsid w:val="677E58F5"/>
    <w:rsid w:val="67CB0358"/>
    <w:rsid w:val="6849EB2D"/>
    <w:rsid w:val="69C292B1"/>
    <w:rsid w:val="6B0968F6"/>
    <w:rsid w:val="6B4CFB36"/>
    <w:rsid w:val="6BB8CC72"/>
    <w:rsid w:val="6DC3B698"/>
    <w:rsid w:val="71A7A135"/>
    <w:rsid w:val="73509E70"/>
    <w:rsid w:val="75E8A00D"/>
    <w:rsid w:val="760F1234"/>
    <w:rsid w:val="77F39540"/>
    <w:rsid w:val="790FF3A1"/>
    <w:rsid w:val="7960A81A"/>
    <w:rsid w:val="7DF4BA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355A9A"/>
  <w15:chartTrackingRefBased/>
  <w15:docId w15:val="{B97AA7B5-0583-47AF-9291-A9A165F8A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BFD"/>
    <w:pPr>
      <w:spacing w:after="0" w:line="240" w:lineRule="auto"/>
    </w:pPr>
    <w:rPr>
      <w:rFonts w:ascii="Verdana" w:eastAsiaTheme="minorEastAsia" w:hAnsi="Verdana"/>
      <w:szCs w:val="24"/>
    </w:rPr>
  </w:style>
  <w:style w:type="paragraph" w:styleId="Heading1">
    <w:name w:val="heading 1"/>
    <w:basedOn w:val="Normal"/>
    <w:next w:val="Normal"/>
    <w:link w:val="Heading1Char"/>
    <w:uiPriority w:val="9"/>
    <w:qFormat/>
    <w:rsid w:val="0009183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2B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BFD"/>
    <w:rPr>
      <w:rFonts w:ascii="Segoe UI" w:hAnsi="Segoe UI" w:cs="Segoe UI"/>
      <w:sz w:val="18"/>
      <w:szCs w:val="18"/>
    </w:rPr>
  </w:style>
  <w:style w:type="paragraph" w:customStyle="1" w:styleId="Documenttitle">
    <w:name w:val="Document title"/>
    <w:basedOn w:val="Normal"/>
    <w:link w:val="DocumenttitleChar"/>
    <w:qFormat/>
    <w:rsid w:val="007E2BFD"/>
    <w:rPr>
      <w:b/>
      <w:color w:val="000000" w:themeColor="text1"/>
      <w:sz w:val="52"/>
      <w:szCs w:val="60"/>
    </w:rPr>
  </w:style>
  <w:style w:type="character" w:customStyle="1" w:styleId="DocumenttitleChar">
    <w:name w:val="Document title Char"/>
    <w:basedOn w:val="DefaultParagraphFont"/>
    <w:link w:val="Documenttitle"/>
    <w:rsid w:val="007E2BFD"/>
    <w:rPr>
      <w:rFonts w:ascii="Verdana" w:eastAsiaTheme="minorEastAsia" w:hAnsi="Verdana"/>
      <w:b/>
      <w:color w:val="000000" w:themeColor="text1"/>
      <w:sz w:val="52"/>
      <w:szCs w:val="60"/>
    </w:rPr>
  </w:style>
  <w:style w:type="character" w:styleId="PlaceholderText">
    <w:name w:val="Placeholder Text"/>
    <w:basedOn w:val="DefaultParagraphFont"/>
    <w:uiPriority w:val="99"/>
    <w:semiHidden/>
    <w:rsid w:val="007E2BFD"/>
    <w:rPr>
      <w:color w:val="808080"/>
    </w:rPr>
  </w:style>
  <w:style w:type="character" w:customStyle="1" w:styleId="Heading1Char">
    <w:name w:val="Heading 1 Char"/>
    <w:basedOn w:val="DefaultParagraphFont"/>
    <w:link w:val="Heading1"/>
    <w:uiPriority w:val="9"/>
    <w:rsid w:val="0009183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91836"/>
    <w:pPr>
      <w:spacing w:line="259" w:lineRule="auto"/>
      <w:outlineLvl w:val="9"/>
    </w:pPr>
    <w:rPr>
      <w:lang w:val="en-US"/>
    </w:rPr>
  </w:style>
  <w:style w:type="paragraph" w:styleId="TOC1">
    <w:name w:val="toc 1"/>
    <w:basedOn w:val="Normal"/>
    <w:next w:val="Normal"/>
    <w:autoRedefine/>
    <w:uiPriority w:val="39"/>
    <w:unhideWhenUsed/>
    <w:rsid w:val="00091836"/>
    <w:pPr>
      <w:spacing w:after="100"/>
    </w:pPr>
  </w:style>
  <w:style w:type="character" w:styleId="Hyperlink">
    <w:name w:val="Hyperlink"/>
    <w:basedOn w:val="DefaultParagraphFont"/>
    <w:uiPriority w:val="99"/>
    <w:unhideWhenUsed/>
    <w:rsid w:val="00091836"/>
    <w:rPr>
      <w:color w:val="0563C1" w:themeColor="hyperlink"/>
      <w:u w:val="single"/>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99"/>
    <w:qFormat/>
    <w:rsid w:val="006821B1"/>
    <w:pPr>
      <w:ind w:left="720"/>
      <w:contextualSpacing/>
    </w:pPr>
  </w:style>
  <w:style w:type="paragraph" w:styleId="Header">
    <w:name w:val="header"/>
    <w:basedOn w:val="Normal"/>
    <w:link w:val="HeaderChar"/>
    <w:uiPriority w:val="99"/>
    <w:unhideWhenUsed/>
    <w:rsid w:val="00446BAA"/>
    <w:pPr>
      <w:tabs>
        <w:tab w:val="center" w:pos="4513"/>
        <w:tab w:val="right" w:pos="9026"/>
      </w:tabs>
    </w:pPr>
  </w:style>
  <w:style w:type="character" w:customStyle="1" w:styleId="HeaderChar">
    <w:name w:val="Header Char"/>
    <w:basedOn w:val="DefaultParagraphFont"/>
    <w:link w:val="Header"/>
    <w:uiPriority w:val="99"/>
    <w:rsid w:val="00446BAA"/>
    <w:rPr>
      <w:rFonts w:ascii="Verdana" w:eastAsiaTheme="minorEastAsia" w:hAnsi="Verdana"/>
      <w:szCs w:val="24"/>
    </w:rPr>
  </w:style>
  <w:style w:type="paragraph" w:styleId="Footer">
    <w:name w:val="footer"/>
    <w:basedOn w:val="Normal"/>
    <w:link w:val="FooterChar"/>
    <w:uiPriority w:val="99"/>
    <w:unhideWhenUsed/>
    <w:rsid w:val="00446BAA"/>
    <w:pPr>
      <w:tabs>
        <w:tab w:val="center" w:pos="4513"/>
        <w:tab w:val="right" w:pos="9026"/>
      </w:tabs>
    </w:pPr>
  </w:style>
  <w:style w:type="character" w:customStyle="1" w:styleId="FooterChar">
    <w:name w:val="Footer Char"/>
    <w:basedOn w:val="DefaultParagraphFont"/>
    <w:link w:val="Footer"/>
    <w:uiPriority w:val="99"/>
    <w:rsid w:val="00446BAA"/>
    <w:rPr>
      <w:rFonts w:ascii="Verdana" w:eastAsiaTheme="minorEastAsia" w:hAnsi="Verdana"/>
      <w:szCs w:val="24"/>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99"/>
    <w:qFormat/>
    <w:locked/>
    <w:rsid w:val="000A0261"/>
    <w:rPr>
      <w:rFonts w:ascii="Verdana" w:eastAsiaTheme="minorEastAsia" w:hAnsi="Verdana"/>
      <w:szCs w:val="24"/>
    </w:rPr>
  </w:style>
  <w:style w:type="paragraph" w:styleId="NormalWeb">
    <w:name w:val="Normal (Web)"/>
    <w:basedOn w:val="Normal"/>
    <w:uiPriority w:val="99"/>
    <w:unhideWhenUsed/>
    <w:rsid w:val="001B5E10"/>
    <w:pPr>
      <w:spacing w:before="100" w:beforeAutospacing="1" w:after="100" w:afterAutospacing="1"/>
    </w:pPr>
    <w:rPr>
      <w:rFonts w:ascii="Times New Roman" w:eastAsia="Times New Roman" w:hAnsi="Times New Roman" w:cs="Times New Roman"/>
      <w:sz w:val="24"/>
      <w:lang w:eastAsia="en-GB"/>
    </w:rPr>
  </w:style>
  <w:style w:type="table" w:styleId="TableGrid">
    <w:name w:val="Table Grid"/>
    <w:basedOn w:val="TableNormal"/>
    <w:uiPriority w:val="39"/>
    <w:rsid w:val="009538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6E4F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rsid w:val="006E4F4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aragraph">
    <w:name w:val="paragraph"/>
    <w:basedOn w:val="Normal"/>
    <w:rsid w:val="006D6987"/>
    <w:pPr>
      <w:spacing w:before="100" w:beforeAutospacing="1" w:after="100" w:afterAutospacing="1"/>
    </w:pPr>
    <w:rPr>
      <w:rFonts w:ascii="Times New Roman" w:eastAsia="Times New Roman" w:hAnsi="Times New Roman" w:cs="Times New Roman"/>
      <w:sz w:val="24"/>
      <w:lang w:eastAsia="en-GB"/>
    </w:rPr>
  </w:style>
  <w:style w:type="character" w:customStyle="1" w:styleId="normaltextrun">
    <w:name w:val="normaltextrun"/>
    <w:basedOn w:val="DefaultParagraphFont"/>
    <w:rsid w:val="006D6987"/>
  </w:style>
  <w:style w:type="character" w:customStyle="1" w:styleId="superscript">
    <w:name w:val="superscript"/>
    <w:basedOn w:val="DefaultParagraphFont"/>
    <w:rsid w:val="006D6987"/>
  </w:style>
  <w:style w:type="character" w:customStyle="1" w:styleId="eop">
    <w:name w:val="eop"/>
    <w:basedOn w:val="DefaultParagraphFont"/>
    <w:rsid w:val="006D6987"/>
  </w:style>
  <w:style w:type="character" w:customStyle="1" w:styleId="tabchar">
    <w:name w:val="tabchar"/>
    <w:basedOn w:val="DefaultParagraphFont"/>
    <w:rsid w:val="006D6987"/>
  </w:style>
  <w:style w:type="character" w:styleId="CommentReference">
    <w:name w:val="annotation reference"/>
    <w:basedOn w:val="DefaultParagraphFont"/>
    <w:uiPriority w:val="99"/>
    <w:semiHidden/>
    <w:unhideWhenUsed/>
    <w:rsid w:val="00DF720C"/>
    <w:rPr>
      <w:sz w:val="16"/>
      <w:szCs w:val="16"/>
    </w:rPr>
  </w:style>
  <w:style w:type="paragraph" w:styleId="CommentText">
    <w:name w:val="annotation text"/>
    <w:basedOn w:val="Normal"/>
    <w:link w:val="CommentTextChar"/>
    <w:uiPriority w:val="99"/>
    <w:semiHidden/>
    <w:unhideWhenUsed/>
    <w:rsid w:val="00DF720C"/>
    <w:rPr>
      <w:sz w:val="20"/>
      <w:szCs w:val="20"/>
    </w:rPr>
  </w:style>
  <w:style w:type="character" w:customStyle="1" w:styleId="CommentTextChar">
    <w:name w:val="Comment Text Char"/>
    <w:basedOn w:val="DefaultParagraphFont"/>
    <w:link w:val="CommentText"/>
    <w:uiPriority w:val="99"/>
    <w:semiHidden/>
    <w:rsid w:val="00DF720C"/>
    <w:rPr>
      <w:rFonts w:ascii="Verdana" w:eastAsiaTheme="minorEastAsia" w:hAnsi="Verdana"/>
      <w:sz w:val="20"/>
      <w:szCs w:val="20"/>
    </w:rPr>
  </w:style>
  <w:style w:type="paragraph" w:styleId="CommentSubject">
    <w:name w:val="annotation subject"/>
    <w:basedOn w:val="CommentText"/>
    <w:next w:val="CommentText"/>
    <w:link w:val="CommentSubjectChar"/>
    <w:uiPriority w:val="99"/>
    <w:semiHidden/>
    <w:unhideWhenUsed/>
    <w:rsid w:val="00DF720C"/>
    <w:rPr>
      <w:b/>
      <w:bCs/>
    </w:rPr>
  </w:style>
  <w:style w:type="character" w:customStyle="1" w:styleId="CommentSubjectChar">
    <w:name w:val="Comment Subject Char"/>
    <w:basedOn w:val="CommentTextChar"/>
    <w:link w:val="CommentSubject"/>
    <w:uiPriority w:val="99"/>
    <w:semiHidden/>
    <w:rsid w:val="00DF720C"/>
    <w:rPr>
      <w:rFonts w:ascii="Verdana" w:eastAsiaTheme="minorEastAsia" w:hAnsi="Verdana"/>
      <w:b/>
      <w:bCs/>
      <w:sz w:val="20"/>
      <w:szCs w:val="20"/>
    </w:rPr>
  </w:style>
  <w:style w:type="paragraph" w:styleId="FootnoteText">
    <w:name w:val="footnote text"/>
    <w:basedOn w:val="Normal"/>
    <w:link w:val="FootnoteTextChar"/>
    <w:uiPriority w:val="99"/>
    <w:semiHidden/>
    <w:unhideWhenUsed/>
    <w:rsid w:val="00F53586"/>
    <w:rPr>
      <w:rFonts w:eastAsiaTheme="minorHAnsi"/>
      <w:sz w:val="20"/>
      <w:szCs w:val="20"/>
    </w:rPr>
  </w:style>
  <w:style w:type="character" w:customStyle="1" w:styleId="FootnoteTextChar">
    <w:name w:val="Footnote Text Char"/>
    <w:basedOn w:val="DefaultParagraphFont"/>
    <w:link w:val="FootnoteText"/>
    <w:uiPriority w:val="99"/>
    <w:semiHidden/>
    <w:rsid w:val="00F53586"/>
    <w:rPr>
      <w:rFonts w:ascii="Verdana" w:hAnsi="Verdana"/>
      <w:sz w:val="20"/>
      <w:szCs w:val="20"/>
    </w:rPr>
  </w:style>
  <w:style w:type="character" w:styleId="FootnoteReference">
    <w:name w:val="footnote reference"/>
    <w:basedOn w:val="DefaultParagraphFont"/>
    <w:unhideWhenUsed/>
    <w:rsid w:val="00F53586"/>
    <w:rPr>
      <w:vertAlign w:val="superscript"/>
    </w:rPr>
  </w:style>
  <w:style w:type="character" w:styleId="UnresolvedMention">
    <w:name w:val="Unresolved Mention"/>
    <w:basedOn w:val="DefaultParagraphFont"/>
    <w:uiPriority w:val="99"/>
    <w:semiHidden/>
    <w:unhideWhenUsed/>
    <w:rsid w:val="009C5FE0"/>
    <w:rPr>
      <w:color w:val="605E5C"/>
      <w:shd w:val="clear" w:color="auto" w:fill="E1DFDD"/>
    </w:rPr>
  </w:style>
  <w:style w:type="table" w:customStyle="1" w:styleId="TableGrid1">
    <w:name w:val="Table Grid1"/>
    <w:basedOn w:val="TableNormal"/>
    <w:next w:val="TableGrid"/>
    <w:uiPriority w:val="39"/>
    <w:rsid w:val="00266FC7"/>
    <w:pPr>
      <w:spacing w:after="0" w:line="240" w:lineRule="auto"/>
    </w:pPr>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21769">
      <w:bodyDiv w:val="1"/>
      <w:marLeft w:val="0"/>
      <w:marRight w:val="0"/>
      <w:marTop w:val="0"/>
      <w:marBottom w:val="0"/>
      <w:divBdr>
        <w:top w:val="none" w:sz="0" w:space="0" w:color="auto"/>
        <w:left w:val="none" w:sz="0" w:space="0" w:color="auto"/>
        <w:bottom w:val="none" w:sz="0" w:space="0" w:color="auto"/>
        <w:right w:val="none" w:sz="0" w:space="0" w:color="auto"/>
      </w:divBdr>
    </w:div>
    <w:div w:id="280722037">
      <w:bodyDiv w:val="1"/>
      <w:marLeft w:val="0"/>
      <w:marRight w:val="0"/>
      <w:marTop w:val="0"/>
      <w:marBottom w:val="0"/>
      <w:divBdr>
        <w:top w:val="none" w:sz="0" w:space="0" w:color="auto"/>
        <w:left w:val="none" w:sz="0" w:space="0" w:color="auto"/>
        <w:bottom w:val="none" w:sz="0" w:space="0" w:color="auto"/>
        <w:right w:val="none" w:sz="0" w:space="0" w:color="auto"/>
      </w:divBdr>
    </w:div>
    <w:div w:id="330911809">
      <w:bodyDiv w:val="1"/>
      <w:marLeft w:val="0"/>
      <w:marRight w:val="0"/>
      <w:marTop w:val="0"/>
      <w:marBottom w:val="0"/>
      <w:divBdr>
        <w:top w:val="none" w:sz="0" w:space="0" w:color="auto"/>
        <w:left w:val="none" w:sz="0" w:space="0" w:color="auto"/>
        <w:bottom w:val="none" w:sz="0" w:space="0" w:color="auto"/>
        <w:right w:val="none" w:sz="0" w:space="0" w:color="auto"/>
      </w:divBdr>
    </w:div>
    <w:div w:id="582838203">
      <w:bodyDiv w:val="1"/>
      <w:marLeft w:val="0"/>
      <w:marRight w:val="0"/>
      <w:marTop w:val="0"/>
      <w:marBottom w:val="0"/>
      <w:divBdr>
        <w:top w:val="none" w:sz="0" w:space="0" w:color="auto"/>
        <w:left w:val="none" w:sz="0" w:space="0" w:color="auto"/>
        <w:bottom w:val="none" w:sz="0" w:space="0" w:color="auto"/>
        <w:right w:val="none" w:sz="0" w:space="0" w:color="auto"/>
      </w:divBdr>
    </w:div>
    <w:div w:id="586427214">
      <w:bodyDiv w:val="1"/>
      <w:marLeft w:val="0"/>
      <w:marRight w:val="0"/>
      <w:marTop w:val="0"/>
      <w:marBottom w:val="0"/>
      <w:divBdr>
        <w:top w:val="none" w:sz="0" w:space="0" w:color="auto"/>
        <w:left w:val="none" w:sz="0" w:space="0" w:color="auto"/>
        <w:bottom w:val="none" w:sz="0" w:space="0" w:color="auto"/>
        <w:right w:val="none" w:sz="0" w:space="0" w:color="auto"/>
      </w:divBdr>
      <w:divsChild>
        <w:div w:id="119345432">
          <w:marLeft w:val="0"/>
          <w:marRight w:val="0"/>
          <w:marTop w:val="0"/>
          <w:marBottom w:val="0"/>
          <w:divBdr>
            <w:top w:val="none" w:sz="0" w:space="0" w:color="auto"/>
            <w:left w:val="none" w:sz="0" w:space="0" w:color="auto"/>
            <w:bottom w:val="none" w:sz="0" w:space="0" w:color="auto"/>
            <w:right w:val="none" w:sz="0" w:space="0" w:color="auto"/>
          </w:divBdr>
        </w:div>
        <w:div w:id="241112976">
          <w:marLeft w:val="0"/>
          <w:marRight w:val="0"/>
          <w:marTop w:val="0"/>
          <w:marBottom w:val="0"/>
          <w:divBdr>
            <w:top w:val="none" w:sz="0" w:space="0" w:color="auto"/>
            <w:left w:val="none" w:sz="0" w:space="0" w:color="auto"/>
            <w:bottom w:val="none" w:sz="0" w:space="0" w:color="auto"/>
            <w:right w:val="none" w:sz="0" w:space="0" w:color="auto"/>
          </w:divBdr>
        </w:div>
        <w:div w:id="492919094">
          <w:marLeft w:val="0"/>
          <w:marRight w:val="0"/>
          <w:marTop w:val="0"/>
          <w:marBottom w:val="0"/>
          <w:divBdr>
            <w:top w:val="none" w:sz="0" w:space="0" w:color="auto"/>
            <w:left w:val="none" w:sz="0" w:space="0" w:color="auto"/>
            <w:bottom w:val="none" w:sz="0" w:space="0" w:color="auto"/>
            <w:right w:val="none" w:sz="0" w:space="0" w:color="auto"/>
          </w:divBdr>
        </w:div>
        <w:div w:id="807747749">
          <w:marLeft w:val="0"/>
          <w:marRight w:val="0"/>
          <w:marTop w:val="0"/>
          <w:marBottom w:val="0"/>
          <w:divBdr>
            <w:top w:val="none" w:sz="0" w:space="0" w:color="auto"/>
            <w:left w:val="none" w:sz="0" w:space="0" w:color="auto"/>
            <w:bottom w:val="none" w:sz="0" w:space="0" w:color="auto"/>
            <w:right w:val="none" w:sz="0" w:space="0" w:color="auto"/>
          </w:divBdr>
        </w:div>
        <w:div w:id="938945997">
          <w:marLeft w:val="0"/>
          <w:marRight w:val="0"/>
          <w:marTop w:val="0"/>
          <w:marBottom w:val="0"/>
          <w:divBdr>
            <w:top w:val="none" w:sz="0" w:space="0" w:color="auto"/>
            <w:left w:val="none" w:sz="0" w:space="0" w:color="auto"/>
            <w:bottom w:val="none" w:sz="0" w:space="0" w:color="auto"/>
            <w:right w:val="none" w:sz="0" w:space="0" w:color="auto"/>
          </w:divBdr>
        </w:div>
        <w:div w:id="1339232887">
          <w:marLeft w:val="0"/>
          <w:marRight w:val="0"/>
          <w:marTop w:val="0"/>
          <w:marBottom w:val="0"/>
          <w:divBdr>
            <w:top w:val="none" w:sz="0" w:space="0" w:color="auto"/>
            <w:left w:val="none" w:sz="0" w:space="0" w:color="auto"/>
            <w:bottom w:val="none" w:sz="0" w:space="0" w:color="auto"/>
            <w:right w:val="none" w:sz="0" w:space="0" w:color="auto"/>
          </w:divBdr>
        </w:div>
        <w:div w:id="1606814621">
          <w:marLeft w:val="0"/>
          <w:marRight w:val="0"/>
          <w:marTop w:val="0"/>
          <w:marBottom w:val="0"/>
          <w:divBdr>
            <w:top w:val="none" w:sz="0" w:space="0" w:color="auto"/>
            <w:left w:val="none" w:sz="0" w:space="0" w:color="auto"/>
            <w:bottom w:val="none" w:sz="0" w:space="0" w:color="auto"/>
            <w:right w:val="none" w:sz="0" w:space="0" w:color="auto"/>
          </w:divBdr>
        </w:div>
        <w:div w:id="1910991151">
          <w:marLeft w:val="0"/>
          <w:marRight w:val="0"/>
          <w:marTop w:val="0"/>
          <w:marBottom w:val="0"/>
          <w:divBdr>
            <w:top w:val="none" w:sz="0" w:space="0" w:color="auto"/>
            <w:left w:val="none" w:sz="0" w:space="0" w:color="auto"/>
            <w:bottom w:val="none" w:sz="0" w:space="0" w:color="auto"/>
            <w:right w:val="none" w:sz="0" w:space="0" w:color="auto"/>
          </w:divBdr>
        </w:div>
      </w:divsChild>
    </w:div>
    <w:div w:id="705259645">
      <w:bodyDiv w:val="1"/>
      <w:marLeft w:val="0"/>
      <w:marRight w:val="0"/>
      <w:marTop w:val="0"/>
      <w:marBottom w:val="0"/>
      <w:divBdr>
        <w:top w:val="none" w:sz="0" w:space="0" w:color="auto"/>
        <w:left w:val="none" w:sz="0" w:space="0" w:color="auto"/>
        <w:bottom w:val="none" w:sz="0" w:space="0" w:color="auto"/>
        <w:right w:val="none" w:sz="0" w:space="0" w:color="auto"/>
      </w:divBdr>
    </w:div>
    <w:div w:id="839582775">
      <w:bodyDiv w:val="1"/>
      <w:marLeft w:val="0"/>
      <w:marRight w:val="0"/>
      <w:marTop w:val="0"/>
      <w:marBottom w:val="0"/>
      <w:divBdr>
        <w:top w:val="none" w:sz="0" w:space="0" w:color="auto"/>
        <w:left w:val="none" w:sz="0" w:space="0" w:color="auto"/>
        <w:bottom w:val="none" w:sz="0" w:space="0" w:color="auto"/>
        <w:right w:val="none" w:sz="0" w:space="0" w:color="auto"/>
      </w:divBdr>
    </w:div>
    <w:div w:id="855271631">
      <w:bodyDiv w:val="1"/>
      <w:marLeft w:val="0"/>
      <w:marRight w:val="0"/>
      <w:marTop w:val="0"/>
      <w:marBottom w:val="0"/>
      <w:divBdr>
        <w:top w:val="none" w:sz="0" w:space="0" w:color="auto"/>
        <w:left w:val="none" w:sz="0" w:space="0" w:color="auto"/>
        <w:bottom w:val="none" w:sz="0" w:space="0" w:color="auto"/>
        <w:right w:val="none" w:sz="0" w:space="0" w:color="auto"/>
      </w:divBdr>
    </w:div>
    <w:div w:id="891186183">
      <w:bodyDiv w:val="1"/>
      <w:marLeft w:val="0"/>
      <w:marRight w:val="0"/>
      <w:marTop w:val="0"/>
      <w:marBottom w:val="0"/>
      <w:divBdr>
        <w:top w:val="none" w:sz="0" w:space="0" w:color="auto"/>
        <w:left w:val="none" w:sz="0" w:space="0" w:color="auto"/>
        <w:bottom w:val="none" w:sz="0" w:space="0" w:color="auto"/>
        <w:right w:val="none" w:sz="0" w:space="0" w:color="auto"/>
      </w:divBdr>
      <w:divsChild>
        <w:div w:id="144785799">
          <w:marLeft w:val="0"/>
          <w:marRight w:val="0"/>
          <w:marTop w:val="0"/>
          <w:marBottom w:val="0"/>
          <w:divBdr>
            <w:top w:val="none" w:sz="0" w:space="0" w:color="auto"/>
            <w:left w:val="none" w:sz="0" w:space="0" w:color="auto"/>
            <w:bottom w:val="none" w:sz="0" w:space="0" w:color="auto"/>
            <w:right w:val="none" w:sz="0" w:space="0" w:color="auto"/>
          </w:divBdr>
        </w:div>
        <w:div w:id="1927614710">
          <w:marLeft w:val="0"/>
          <w:marRight w:val="0"/>
          <w:marTop w:val="0"/>
          <w:marBottom w:val="0"/>
          <w:divBdr>
            <w:top w:val="none" w:sz="0" w:space="0" w:color="auto"/>
            <w:left w:val="none" w:sz="0" w:space="0" w:color="auto"/>
            <w:bottom w:val="none" w:sz="0" w:space="0" w:color="auto"/>
            <w:right w:val="none" w:sz="0" w:space="0" w:color="auto"/>
          </w:divBdr>
        </w:div>
        <w:div w:id="2055546386">
          <w:marLeft w:val="0"/>
          <w:marRight w:val="0"/>
          <w:marTop w:val="0"/>
          <w:marBottom w:val="0"/>
          <w:divBdr>
            <w:top w:val="none" w:sz="0" w:space="0" w:color="auto"/>
            <w:left w:val="none" w:sz="0" w:space="0" w:color="auto"/>
            <w:bottom w:val="none" w:sz="0" w:space="0" w:color="auto"/>
            <w:right w:val="none" w:sz="0" w:space="0" w:color="auto"/>
          </w:divBdr>
        </w:div>
      </w:divsChild>
    </w:div>
    <w:div w:id="1669088504">
      <w:bodyDiv w:val="1"/>
      <w:marLeft w:val="0"/>
      <w:marRight w:val="0"/>
      <w:marTop w:val="0"/>
      <w:marBottom w:val="0"/>
      <w:divBdr>
        <w:top w:val="none" w:sz="0" w:space="0" w:color="auto"/>
        <w:left w:val="none" w:sz="0" w:space="0" w:color="auto"/>
        <w:bottom w:val="none" w:sz="0" w:space="0" w:color="auto"/>
        <w:right w:val="none" w:sz="0" w:space="0" w:color="auto"/>
      </w:divBdr>
    </w:div>
    <w:div w:id="178082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image" Target="media/image3.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glossaryDocument" Target="glossary/document.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image" Target="media/image5.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9.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image" Target="media/image8.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image" Target="media/image7.png"/><Relationship Id="rId27" Type="http://schemas.openxmlformats.org/officeDocument/2006/relationships/header" Target="header2.xml"/><Relationship Id="rId30"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www.local.gov.uk/standard-3-safe-workloads-and-case-allocation" TargetMode="External"/><Relationship Id="rId1" Type="http://schemas.openxmlformats.org/officeDocument/2006/relationships/hyperlink" Target="https://www.sssc.uk.com/supporting-the-workforce/newly-qualified-social-worker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91C0111-01FB-45D7-8A90-31DD5297CA22}" type="doc">
      <dgm:prSet loTypeId="urn:microsoft.com/office/officeart/2005/8/layout/equation2" loCatId="process" qsTypeId="urn:microsoft.com/office/officeart/2005/8/quickstyle/simple1" qsCatId="simple" csTypeId="urn:microsoft.com/office/officeart/2005/8/colors/accent1_2" csCatId="accent1" phldr="1"/>
      <dgm:spPr/>
      <dgm:t>
        <a:bodyPr/>
        <a:lstStyle/>
        <a:p>
          <a:endParaRPr lang="en-GB"/>
        </a:p>
      </dgm:t>
    </dgm:pt>
    <dgm:pt modelId="{7117BD65-6C3A-4B45-B50F-EF1777CEA080}">
      <dgm:prSet phldrT="[Text]" custT="1"/>
      <dgm:spPr>
        <a:xfrm>
          <a:off x="752214" y="1314096"/>
          <a:ext cx="2370112" cy="914407"/>
        </a:xfrm>
        <a:prstGeom prst="ellipse">
          <a:avLst/>
        </a:prstGeom>
        <a:solidFill>
          <a:srgbClr val="7030A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1200">
              <a:solidFill>
                <a:sysClr val="window" lastClr="FFFFFF"/>
              </a:solidFill>
              <a:latin typeface="Calibri" panose="020F0502020204030204"/>
              <a:ea typeface="+mn-ea"/>
              <a:cs typeface="+mn-cs"/>
            </a:rPr>
            <a:t>Professional development reviews and individual development plans</a:t>
          </a:r>
        </a:p>
      </dgm:t>
    </dgm:pt>
    <dgm:pt modelId="{56B5039C-F489-4734-A3DC-2F74190D7A88}" type="parTrans" cxnId="{0CB74E0E-1205-459F-B75A-7B9CEEA88417}">
      <dgm:prSet/>
      <dgm:spPr/>
      <dgm:t>
        <a:bodyPr/>
        <a:lstStyle/>
        <a:p>
          <a:endParaRPr lang="en-GB"/>
        </a:p>
      </dgm:t>
    </dgm:pt>
    <dgm:pt modelId="{700E651A-1CD2-4767-AB16-DD0EA6BD7DE8}" type="sibTrans" cxnId="{0CB74E0E-1205-459F-B75A-7B9CEEA88417}">
      <dgm:prSet/>
      <dgm:spPr>
        <a:xfrm>
          <a:off x="1806996" y="965573"/>
          <a:ext cx="349795" cy="349795"/>
        </a:xfrm>
        <a:prstGeom prst="mathPlus">
          <a:avLst/>
        </a:prstGeom>
        <a:solidFill>
          <a:srgbClr val="4472C4">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7BEB4A0D-340F-453F-9144-545A988F8306}">
      <dgm:prSet phldrT="[Text]" custT="1"/>
      <dgm:spPr>
        <a:xfrm>
          <a:off x="733684" y="55260"/>
          <a:ext cx="2531012" cy="861269"/>
        </a:xfrm>
        <a:prstGeom prst="ellipse">
          <a:avLst/>
        </a:prstGeom>
        <a:solidFill>
          <a:srgbClr val="92D05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1200">
              <a:solidFill>
                <a:sysClr val="window" lastClr="FFFFFF"/>
              </a:solidFill>
              <a:latin typeface="Calibri" panose="020F0502020204030204"/>
              <a:ea typeface="+mn-ea"/>
              <a:cs typeface="+mn-cs"/>
            </a:rPr>
            <a:t>Reflective and reflexive professional supervision</a:t>
          </a:r>
        </a:p>
      </dgm:t>
    </dgm:pt>
    <dgm:pt modelId="{2C494582-E828-47CB-B516-D80F5694C0E0}" type="parTrans" cxnId="{E6E39B97-A64B-4E71-A0D7-6D818951B733}">
      <dgm:prSet/>
      <dgm:spPr/>
      <dgm:t>
        <a:bodyPr/>
        <a:lstStyle/>
        <a:p>
          <a:endParaRPr lang="en-GB"/>
        </a:p>
      </dgm:t>
    </dgm:pt>
    <dgm:pt modelId="{7A5D3F88-CB2B-440C-B565-72D6CD3DABC0}" type="sibTrans" cxnId="{E6E39B97-A64B-4E71-A0D7-6D818951B733}">
      <dgm:prSet/>
      <dgm:spPr>
        <a:xfrm>
          <a:off x="1806996" y="2274580"/>
          <a:ext cx="349795" cy="349795"/>
        </a:xfrm>
        <a:prstGeom prst="mathPlus">
          <a:avLst/>
        </a:prstGeom>
        <a:solidFill>
          <a:srgbClr val="4472C4">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613DC950-6FBA-42F3-9096-39E8484CD1AA}">
      <dgm:prSet phldrT="[Text]" custT="1"/>
      <dgm:spPr>
        <a:xfrm>
          <a:off x="757790" y="2673347"/>
          <a:ext cx="2448207" cy="805223"/>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1200">
              <a:solidFill>
                <a:sysClr val="window" lastClr="FFFFFF"/>
              </a:solidFill>
              <a:latin typeface="Calibri" panose="020F0502020204030204"/>
              <a:ea typeface="+mn-ea"/>
              <a:cs typeface="+mn-cs"/>
            </a:rPr>
            <a:t>Formal, informal and naturally occurring learning opportunities</a:t>
          </a:r>
        </a:p>
      </dgm:t>
    </dgm:pt>
    <dgm:pt modelId="{5B5840DD-F9A5-4D91-9893-6F4F59C4CE77}" type="sibTrans" cxnId="{1B226347-BE62-4DAD-B892-59E0DE2C7D06}">
      <dgm:prSet/>
      <dgm:spPr>
        <a:xfrm>
          <a:off x="1806996" y="3527542"/>
          <a:ext cx="349795" cy="349795"/>
        </a:xfrm>
        <a:prstGeom prst="mathPlus">
          <a:avLst/>
        </a:prstGeom>
        <a:solidFill>
          <a:srgbClr val="4472C4">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5EA83893-A29C-4AB2-8EB3-66389925C37C}" type="parTrans" cxnId="{1B226347-BE62-4DAD-B892-59E0DE2C7D06}">
      <dgm:prSet/>
      <dgm:spPr/>
      <dgm:t>
        <a:bodyPr/>
        <a:lstStyle/>
        <a:p>
          <a:endParaRPr lang="en-GB"/>
        </a:p>
      </dgm:t>
    </dgm:pt>
    <dgm:pt modelId="{02844979-C4B2-4F96-AC3B-9B7D1494812B}">
      <dgm:prSet phldrT="[Text]" custT="1"/>
      <dgm:spPr>
        <a:xfrm>
          <a:off x="760084" y="4952354"/>
          <a:ext cx="2463447" cy="764237"/>
        </a:xfrm>
        <a:prstGeom prst="ellipse">
          <a:avLst/>
        </a:prstGeom>
        <a:solidFill>
          <a:srgbClr val="FF000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1200">
              <a:solidFill>
                <a:sysClr val="window" lastClr="FFFFFF"/>
              </a:solidFill>
              <a:latin typeface="Calibri" panose="020F0502020204030204"/>
              <a:ea typeface="+mn-ea"/>
              <a:cs typeface="+mn-cs"/>
            </a:rPr>
            <a:t>Structured professional discussions</a:t>
          </a:r>
        </a:p>
      </dgm:t>
    </dgm:pt>
    <dgm:pt modelId="{C8F55B25-9B9F-41F1-B2EA-106FB204D98B}" type="parTrans" cxnId="{F4B93A0B-A8C2-4820-BA5D-88C695556A55}">
      <dgm:prSet/>
      <dgm:spPr/>
      <dgm:t>
        <a:bodyPr/>
        <a:lstStyle/>
        <a:p>
          <a:endParaRPr lang="en-GB"/>
        </a:p>
      </dgm:t>
    </dgm:pt>
    <dgm:pt modelId="{5C16BEAB-E617-4C96-B948-B5AD59018594}" type="sibTrans" cxnId="{F4B93A0B-A8C2-4820-BA5D-88C695556A55}">
      <dgm:prSet/>
      <dgm:spPr>
        <a:xfrm rot="21559529">
          <a:off x="3167382" y="2540900"/>
          <a:ext cx="793427" cy="788708"/>
        </a:xfrm>
        <a:prstGeom prst="mathEqual">
          <a:avLst/>
        </a:prstGeom>
        <a:solidFill>
          <a:sysClr val="windowText" lastClr="000000"/>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056944D2-E15A-4053-8BC3-8B4697430AAA}">
      <dgm:prSet phldrT="[Text]"/>
      <dgm:spPr>
        <a:xfrm>
          <a:off x="3920671" y="1235690"/>
          <a:ext cx="1405864" cy="2870362"/>
        </a:xfrm>
        <a:prstGeom prst="ellipse">
          <a:avLst/>
        </a:prstGeom>
        <a:solidFill>
          <a:srgbClr val="FFC00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Evidencing progress against the standards and CPL requirements</a:t>
          </a:r>
        </a:p>
      </dgm:t>
    </dgm:pt>
    <dgm:pt modelId="{674E5255-0E98-42BA-8F3D-3C8CD53D5A48}" type="parTrans" cxnId="{9AD59285-B38E-4648-8D63-F99A0FB5401E}">
      <dgm:prSet/>
      <dgm:spPr/>
      <dgm:t>
        <a:bodyPr/>
        <a:lstStyle/>
        <a:p>
          <a:endParaRPr lang="en-GB"/>
        </a:p>
      </dgm:t>
    </dgm:pt>
    <dgm:pt modelId="{11F6A242-2603-4B51-974C-B2F0BEC633FE}" type="sibTrans" cxnId="{9AD59285-B38E-4648-8D63-F99A0FB5401E}">
      <dgm:prSet/>
      <dgm:spPr/>
      <dgm:t>
        <a:bodyPr/>
        <a:lstStyle/>
        <a:p>
          <a:endParaRPr lang="en-GB"/>
        </a:p>
      </dgm:t>
    </dgm:pt>
    <dgm:pt modelId="{53981A6B-B529-43C6-AB7D-851F08F11474}">
      <dgm:prSet/>
      <dgm:spPr>
        <a:xfrm>
          <a:off x="793077" y="3926309"/>
          <a:ext cx="2377633" cy="603095"/>
        </a:xfrm>
        <a:prstGeom prst="ellipse">
          <a:avLst/>
        </a:prstGeom>
        <a:solidFill>
          <a:srgbClr val="CF39C1"/>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Multi-source feedback</a:t>
          </a:r>
        </a:p>
      </dgm:t>
    </dgm:pt>
    <dgm:pt modelId="{B90B6D74-53A2-47AF-9062-40D05328582C}" type="parTrans" cxnId="{6E381057-899D-4F19-BB81-B18BA1D6162A}">
      <dgm:prSet/>
      <dgm:spPr/>
      <dgm:t>
        <a:bodyPr/>
        <a:lstStyle/>
        <a:p>
          <a:endParaRPr lang="en-GB"/>
        </a:p>
      </dgm:t>
    </dgm:pt>
    <dgm:pt modelId="{7F39E6A5-123B-45D4-A3B1-00DC535F8D3B}" type="sibTrans" cxnId="{6E381057-899D-4F19-BB81-B18BA1D6162A}">
      <dgm:prSet/>
      <dgm:spPr>
        <a:xfrm>
          <a:off x="1806996" y="4578377"/>
          <a:ext cx="349795" cy="349795"/>
        </a:xfrm>
        <a:prstGeom prst="mathPlus">
          <a:avLst/>
        </a:prstGeom>
        <a:solidFill>
          <a:srgbClr val="4472C4">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B132C5EC-5098-436E-880D-E461C64A43F8}" type="pres">
      <dgm:prSet presAssocID="{691C0111-01FB-45D7-8A90-31DD5297CA22}" presName="Name0" presStyleCnt="0">
        <dgm:presLayoutVars>
          <dgm:dir/>
          <dgm:resizeHandles val="exact"/>
        </dgm:presLayoutVars>
      </dgm:prSet>
      <dgm:spPr/>
    </dgm:pt>
    <dgm:pt modelId="{18D74166-2BBB-409C-AAAA-5D9B558F1600}" type="pres">
      <dgm:prSet presAssocID="{691C0111-01FB-45D7-8A90-31DD5297CA22}" presName="vNodes" presStyleCnt="0"/>
      <dgm:spPr/>
    </dgm:pt>
    <dgm:pt modelId="{A4049BD7-3F24-4F62-B0A6-2EFD766FF8BD}" type="pres">
      <dgm:prSet presAssocID="{7117BD65-6C3A-4B45-B50F-EF1777CEA080}" presName="node" presStyleLbl="node1" presStyleIdx="0" presStyleCnt="6" custScaleX="392991" custScaleY="151619" custLinFactY="200000" custLinFactNeighborX="-7399" custLinFactNeighborY="215863">
        <dgm:presLayoutVars>
          <dgm:bulletEnabled val="1"/>
        </dgm:presLayoutVars>
      </dgm:prSet>
      <dgm:spPr>
        <a:prstGeom prst="ellipse">
          <a:avLst/>
        </a:prstGeom>
      </dgm:spPr>
    </dgm:pt>
    <dgm:pt modelId="{5852B531-A2F0-4DF6-A6E0-179CEDC5A8DD}" type="pres">
      <dgm:prSet presAssocID="{700E651A-1CD2-4767-AB16-DD0EA6BD7DE8}" presName="spacerT" presStyleCnt="0"/>
      <dgm:spPr/>
    </dgm:pt>
    <dgm:pt modelId="{56C3EF66-5211-4473-B5F0-31519D68E595}" type="pres">
      <dgm:prSet presAssocID="{700E651A-1CD2-4767-AB16-DD0EA6BD7DE8}" presName="sibTrans" presStyleLbl="sibTrans2D1" presStyleIdx="0" presStyleCnt="5"/>
      <dgm:spPr/>
    </dgm:pt>
    <dgm:pt modelId="{6533DE7A-569F-417C-B37E-E30DC1D87FE4}" type="pres">
      <dgm:prSet presAssocID="{700E651A-1CD2-4767-AB16-DD0EA6BD7DE8}" presName="spacerB" presStyleCnt="0"/>
      <dgm:spPr/>
    </dgm:pt>
    <dgm:pt modelId="{6D2269D4-D856-4D1A-9D93-3A54983EC333}" type="pres">
      <dgm:prSet presAssocID="{7BEB4A0D-340F-453F-9144-545A988F8306}" presName="node" presStyleLbl="node1" presStyleIdx="1" presStyleCnt="6" custScaleX="419670" custScaleY="142808" custLinFactY="-200000" custLinFactNeighborX="2868" custLinFactNeighborY="-210098">
        <dgm:presLayoutVars>
          <dgm:bulletEnabled val="1"/>
        </dgm:presLayoutVars>
      </dgm:prSet>
      <dgm:spPr>
        <a:prstGeom prst="ellipse">
          <a:avLst/>
        </a:prstGeom>
      </dgm:spPr>
    </dgm:pt>
    <dgm:pt modelId="{ACA4ECA9-F2C0-4968-B939-669DAD886606}" type="pres">
      <dgm:prSet presAssocID="{7A5D3F88-CB2B-440C-B565-72D6CD3DABC0}" presName="spacerT" presStyleCnt="0"/>
      <dgm:spPr/>
    </dgm:pt>
    <dgm:pt modelId="{8A0FC405-C37E-4370-8534-AF616B7A109F}" type="pres">
      <dgm:prSet presAssocID="{7A5D3F88-CB2B-440C-B565-72D6CD3DABC0}" presName="sibTrans" presStyleLbl="sibTrans2D1" presStyleIdx="1" presStyleCnt="5"/>
      <dgm:spPr/>
    </dgm:pt>
    <dgm:pt modelId="{AF1D283B-CF6D-40B0-933F-B7EADAC2E6A5}" type="pres">
      <dgm:prSet presAssocID="{7A5D3F88-CB2B-440C-B565-72D6CD3DABC0}" presName="spacerB" presStyleCnt="0"/>
      <dgm:spPr/>
    </dgm:pt>
    <dgm:pt modelId="{C62EF1C5-532A-4B8F-9BAC-9C35018861E0}" type="pres">
      <dgm:prSet presAssocID="{613DC950-6FBA-42F3-9096-39E8484CD1AA}" presName="node" presStyleLbl="node1" presStyleIdx="2" presStyleCnt="6" custScaleX="405940" custScaleY="133515">
        <dgm:presLayoutVars>
          <dgm:bulletEnabled val="1"/>
        </dgm:presLayoutVars>
      </dgm:prSet>
      <dgm:spPr>
        <a:prstGeom prst="ellipse">
          <a:avLst/>
        </a:prstGeom>
      </dgm:spPr>
    </dgm:pt>
    <dgm:pt modelId="{421C5D42-43CD-4881-A264-747B6928EE35}" type="pres">
      <dgm:prSet presAssocID="{5B5840DD-F9A5-4D91-9893-6F4F59C4CE77}" presName="spacerT" presStyleCnt="0"/>
      <dgm:spPr/>
    </dgm:pt>
    <dgm:pt modelId="{01FA6C29-E4CB-4A43-A61A-EB71F1D367F6}" type="pres">
      <dgm:prSet presAssocID="{5B5840DD-F9A5-4D91-9893-6F4F59C4CE77}" presName="sibTrans" presStyleLbl="sibTrans2D1" presStyleIdx="2" presStyleCnt="5"/>
      <dgm:spPr/>
    </dgm:pt>
    <dgm:pt modelId="{38766871-33FF-47D5-AD51-B1BFF8FDF625}" type="pres">
      <dgm:prSet presAssocID="{5B5840DD-F9A5-4D91-9893-6F4F59C4CE77}" presName="spacerB" presStyleCnt="0"/>
      <dgm:spPr/>
    </dgm:pt>
    <dgm:pt modelId="{8A886444-D1D2-4E88-BFE3-720A5F246587}" type="pres">
      <dgm:prSet presAssocID="{53981A6B-B529-43C6-AB7D-851F08F11474}" presName="node" presStyleLbl="node1" presStyleIdx="3" presStyleCnt="6" custScaleX="394238">
        <dgm:presLayoutVars>
          <dgm:bulletEnabled val="1"/>
        </dgm:presLayoutVars>
      </dgm:prSet>
      <dgm:spPr/>
    </dgm:pt>
    <dgm:pt modelId="{E22C8A1A-7AD6-4AC0-BDA1-0527C3BA505C}" type="pres">
      <dgm:prSet presAssocID="{7F39E6A5-123B-45D4-A3B1-00DC535F8D3B}" presName="spacerT" presStyleCnt="0"/>
      <dgm:spPr/>
    </dgm:pt>
    <dgm:pt modelId="{7C8D8F2B-65A9-4D74-8ECB-BFD962C1D523}" type="pres">
      <dgm:prSet presAssocID="{7F39E6A5-123B-45D4-A3B1-00DC535F8D3B}" presName="sibTrans" presStyleLbl="sibTrans2D1" presStyleIdx="3" presStyleCnt="5"/>
      <dgm:spPr/>
    </dgm:pt>
    <dgm:pt modelId="{E1C8CAEA-C43D-43B7-8609-C651C16EFE4F}" type="pres">
      <dgm:prSet presAssocID="{7F39E6A5-123B-45D4-A3B1-00DC535F8D3B}" presName="spacerB" presStyleCnt="0"/>
      <dgm:spPr/>
    </dgm:pt>
    <dgm:pt modelId="{FB3B9CA0-9C5C-4FF0-A7FC-7A1ADC9F9D8B}" type="pres">
      <dgm:prSet presAssocID="{02844979-C4B2-4F96-AC3B-9B7D1494812B}" presName="node" presStyleLbl="node1" presStyleIdx="4" presStyleCnt="6" custScaleX="408467" custScaleY="126719" custLinFactNeighborX="1644" custLinFactNeighborY="-50621">
        <dgm:presLayoutVars>
          <dgm:bulletEnabled val="1"/>
        </dgm:presLayoutVars>
      </dgm:prSet>
      <dgm:spPr/>
    </dgm:pt>
    <dgm:pt modelId="{ED69E7F1-9D9D-4749-A1DE-29439437F308}" type="pres">
      <dgm:prSet presAssocID="{691C0111-01FB-45D7-8A90-31DD5297CA22}" presName="sibTransLast" presStyleLbl="sibTrans2D1" presStyleIdx="4" presStyleCnt="5" custAng="240602" custScaleX="227257" custScaleY="351550" custLinFactNeighborX="-11090" custLinFactNeighborY="80559"/>
      <dgm:spPr>
        <a:prstGeom prst="mathEqual">
          <a:avLst/>
        </a:prstGeom>
      </dgm:spPr>
    </dgm:pt>
    <dgm:pt modelId="{917F52B2-6BCB-4FED-8B98-5963B6B303DB}" type="pres">
      <dgm:prSet presAssocID="{691C0111-01FB-45D7-8A90-31DD5297CA22}" presName="connectorText" presStyleLbl="sibTrans2D1" presStyleIdx="4" presStyleCnt="5"/>
      <dgm:spPr/>
    </dgm:pt>
    <dgm:pt modelId="{A508E9C5-8E6D-4344-B5B8-CC6C9A496F57}" type="pres">
      <dgm:prSet presAssocID="{691C0111-01FB-45D7-8A90-31DD5297CA22}" presName="lastNode" presStyleLbl="node1" presStyleIdx="5" presStyleCnt="6" custScaleX="116554" custScaleY="237969" custLinFactX="12617" custLinFactNeighborX="100000" custLinFactNeighborY="-16657">
        <dgm:presLayoutVars>
          <dgm:bulletEnabled val="1"/>
        </dgm:presLayoutVars>
      </dgm:prSet>
      <dgm:spPr>
        <a:prstGeom prst="ellipse">
          <a:avLst/>
        </a:prstGeom>
      </dgm:spPr>
    </dgm:pt>
  </dgm:ptLst>
  <dgm:cxnLst>
    <dgm:cxn modelId="{AB212E08-8F20-4008-AFFA-48DD989BC250}" type="presOf" srcId="{613DC950-6FBA-42F3-9096-39E8484CD1AA}" destId="{C62EF1C5-532A-4B8F-9BAC-9C35018861E0}" srcOrd="0" destOrd="0" presId="urn:microsoft.com/office/officeart/2005/8/layout/equation2"/>
    <dgm:cxn modelId="{F4B93A0B-A8C2-4820-BA5D-88C695556A55}" srcId="{691C0111-01FB-45D7-8A90-31DD5297CA22}" destId="{02844979-C4B2-4F96-AC3B-9B7D1494812B}" srcOrd="4" destOrd="0" parTransId="{C8F55B25-9B9F-41F1-B2EA-106FB204D98B}" sibTransId="{5C16BEAB-E617-4C96-B948-B5AD59018594}"/>
    <dgm:cxn modelId="{0CB74E0E-1205-459F-B75A-7B9CEEA88417}" srcId="{691C0111-01FB-45D7-8A90-31DD5297CA22}" destId="{7117BD65-6C3A-4B45-B50F-EF1777CEA080}" srcOrd="0" destOrd="0" parTransId="{56B5039C-F489-4734-A3DC-2F74190D7A88}" sibTransId="{700E651A-1CD2-4767-AB16-DD0EA6BD7DE8}"/>
    <dgm:cxn modelId="{D16B501E-CA22-4F5B-BF10-809F02BDE066}" type="presOf" srcId="{7BEB4A0D-340F-453F-9144-545A988F8306}" destId="{6D2269D4-D856-4D1A-9D93-3A54983EC333}" srcOrd="0" destOrd="0" presId="urn:microsoft.com/office/officeart/2005/8/layout/equation2"/>
    <dgm:cxn modelId="{8A606122-9A6F-4A3B-AF4C-4E2D2496CAD5}" type="presOf" srcId="{53981A6B-B529-43C6-AB7D-851F08F11474}" destId="{8A886444-D1D2-4E88-BFE3-720A5F246587}" srcOrd="0" destOrd="0" presId="urn:microsoft.com/office/officeart/2005/8/layout/equation2"/>
    <dgm:cxn modelId="{D5559362-C565-4B7F-9283-0F6B7B59E323}" type="presOf" srcId="{056944D2-E15A-4053-8BC3-8B4697430AAA}" destId="{A508E9C5-8E6D-4344-B5B8-CC6C9A496F57}" srcOrd="0" destOrd="0" presId="urn:microsoft.com/office/officeart/2005/8/layout/equation2"/>
    <dgm:cxn modelId="{1B226347-BE62-4DAD-B892-59E0DE2C7D06}" srcId="{691C0111-01FB-45D7-8A90-31DD5297CA22}" destId="{613DC950-6FBA-42F3-9096-39E8484CD1AA}" srcOrd="2" destOrd="0" parTransId="{5EA83893-A29C-4AB2-8EB3-66389925C37C}" sibTransId="{5B5840DD-F9A5-4D91-9893-6F4F59C4CE77}"/>
    <dgm:cxn modelId="{5ACA376C-6B24-443E-B4BA-222EFDCB69C1}" type="presOf" srcId="{691C0111-01FB-45D7-8A90-31DD5297CA22}" destId="{B132C5EC-5098-436E-880D-E461C64A43F8}" srcOrd="0" destOrd="0" presId="urn:microsoft.com/office/officeart/2005/8/layout/equation2"/>
    <dgm:cxn modelId="{6E381057-899D-4F19-BB81-B18BA1D6162A}" srcId="{691C0111-01FB-45D7-8A90-31DD5297CA22}" destId="{53981A6B-B529-43C6-AB7D-851F08F11474}" srcOrd="3" destOrd="0" parTransId="{B90B6D74-53A2-47AF-9062-40D05328582C}" sibTransId="{7F39E6A5-123B-45D4-A3B1-00DC535F8D3B}"/>
    <dgm:cxn modelId="{03ED217F-D678-4036-AC9B-49EA3FC55D88}" type="presOf" srcId="{5C16BEAB-E617-4C96-B948-B5AD59018594}" destId="{917F52B2-6BCB-4FED-8B98-5963B6B303DB}" srcOrd="1" destOrd="0" presId="urn:microsoft.com/office/officeart/2005/8/layout/equation2"/>
    <dgm:cxn modelId="{9AD59285-B38E-4648-8D63-F99A0FB5401E}" srcId="{691C0111-01FB-45D7-8A90-31DD5297CA22}" destId="{056944D2-E15A-4053-8BC3-8B4697430AAA}" srcOrd="5" destOrd="0" parTransId="{674E5255-0E98-42BA-8F3D-3C8CD53D5A48}" sibTransId="{11F6A242-2603-4B51-974C-B2F0BEC633FE}"/>
    <dgm:cxn modelId="{53740C8A-32CB-4DE0-B82D-618385174AA2}" type="presOf" srcId="{5B5840DD-F9A5-4D91-9893-6F4F59C4CE77}" destId="{01FA6C29-E4CB-4A43-A61A-EB71F1D367F6}" srcOrd="0" destOrd="0" presId="urn:microsoft.com/office/officeart/2005/8/layout/equation2"/>
    <dgm:cxn modelId="{E6E39B97-A64B-4E71-A0D7-6D818951B733}" srcId="{691C0111-01FB-45D7-8A90-31DD5297CA22}" destId="{7BEB4A0D-340F-453F-9144-545A988F8306}" srcOrd="1" destOrd="0" parTransId="{2C494582-E828-47CB-B516-D80F5694C0E0}" sibTransId="{7A5D3F88-CB2B-440C-B565-72D6CD3DABC0}"/>
    <dgm:cxn modelId="{E1627FCE-2963-4B74-BEE4-81493663A084}" type="presOf" srcId="{7117BD65-6C3A-4B45-B50F-EF1777CEA080}" destId="{A4049BD7-3F24-4F62-B0A6-2EFD766FF8BD}" srcOrd="0" destOrd="0" presId="urn:microsoft.com/office/officeart/2005/8/layout/equation2"/>
    <dgm:cxn modelId="{D14A97D8-1287-47CF-84C7-584B73E6DB3E}" type="presOf" srcId="{5C16BEAB-E617-4C96-B948-B5AD59018594}" destId="{ED69E7F1-9D9D-4749-A1DE-29439437F308}" srcOrd="0" destOrd="0" presId="urn:microsoft.com/office/officeart/2005/8/layout/equation2"/>
    <dgm:cxn modelId="{A547FBDC-5A67-45B4-BD5E-0CB5B488BA02}" type="presOf" srcId="{700E651A-1CD2-4767-AB16-DD0EA6BD7DE8}" destId="{56C3EF66-5211-4473-B5F0-31519D68E595}" srcOrd="0" destOrd="0" presId="urn:microsoft.com/office/officeart/2005/8/layout/equation2"/>
    <dgm:cxn modelId="{57EF69E5-1576-4EF4-A0BA-89ECAC3DB257}" type="presOf" srcId="{7F39E6A5-123B-45D4-A3B1-00DC535F8D3B}" destId="{7C8D8F2B-65A9-4D74-8ECB-BFD962C1D523}" srcOrd="0" destOrd="0" presId="urn:microsoft.com/office/officeart/2005/8/layout/equation2"/>
    <dgm:cxn modelId="{16A17EEE-98F7-4572-9607-9CFAA2B1783B}" type="presOf" srcId="{02844979-C4B2-4F96-AC3B-9B7D1494812B}" destId="{FB3B9CA0-9C5C-4FF0-A7FC-7A1ADC9F9D8B}" srcOrd="0" destOrd="0" presId="urn:microsoft.com/office/officeart/2005/8/layout/equation2"/>
    <dgm:cxn modelId="{23EC73F8-82B7-4DB1-98F0-2E2AD61BA235}" type="presOf" srcId="{7A5D3F88-CB2B-440C-B565-72D6CD3DABC0}" destId="{8A0FC405-C37E-4370-8534-AF616B7A109F}" srcOrd="0" destOrd="0" presId="urn:microsoft.com/office/officeart/2005/8/layout/equation2"/>
    <dgm:cxn modelId="{4D514DA5-BD4C-44AB-B937-8C0BA4F214BA}" type="presParOf" srcId="{B132C5EC-5098-436E-880D-E461C64A43F8}" destId="{18D74166-2BBB-409C-AAAA-5D9B558F1600}" srcOrd="0" destOrd="0" presId="urn:microsoft.com/office/officeart/2005/8/layout/equation2"/>
    <dgm:cxn modelId="{51216337-CD41-4B3E-A676-0597EB141A49}" type="presParOf" srcId="{18D74166-2BBB-409C-AAAA-5D9B558F1600}" destId="{A4049BD7-3F24-4F62-B0A6-2EFD766FF8BD}" srcOrd="0" destOrd="0" presId="urn:microsoft.com/office/officeart/2005/8/layout/equation2"/>
    <dgm:cxn modelId="{F8198D7F-E0C9-415F-8FFB-E6D1E3885C30}" type="presParOf" srcId="{18D74166-2BBB-409C-AAAA-5D9B558F1600}" destId="{5852B531-A2F0-4DF6-A6E0-179CEDC5A8DD}" srcOrd="1" destOrd="0" presId="urn:microsoft.com/office/officeart/2005/8/layout/equation2"/>
    <dgm:cxn modelId="{5CB52BB5-C814-4C60-9ECF-0E6D05843D92}" type="presParOf" srcId="{18D74166-2BBB-409C-AAAA-5D9B558F1600}" destId="{56C3EF66-5211-4473-B5F0-31519D68E595}" srcOrd="2" destOrd="0" presId="urn:microsoft.com/office/officeart/2005/8/layout/equation2"/>
    <dgm:cxn modelId="{DF32E244-636E-455E-A44A-00A14FBFE5A7}" type="presParOf" srcId="{18D74166-2BBB-409C-AAAA-5D9B558F1600}" destId="{6533DE7A-569F-417C-B37E-E30DC1D87FE4}" srcOrd="3" destOrd="0" presId="urn:microsoft.com/office/officeart/2005/8/layout/equation2"/>
    <dgm:cxn modelId="{0A351ABA-A0F3-4592-ADED-618DBC0511ED}" type="presParOf" srcId="{18D74166-2BBB-409C-AAAA-5D9B558F1600}" destId="{6D2269D4-D856-4D1A-9D93-3A54983EC333}" srcOrd="4" destOrd="0" presId="urn:microsoft.com/office/officeart/2005/8/layout/equation2"/>
    <dgm:cxn modelId="{9D688034-2725-4BA2-89B2-C65E2EBD506D}" type="presParOf" srcId="{18D74166-2BBB-409C-AAAA-5D9B558F1600}" destId="{ACA4ECA9-F2C0-4968-B939-669DAD886606}" srcOrd="5" destOrd="0" presId="urn:microsoft.com/office/officeart/2005/8/layout/equation2"/>
    <dgm:cxn modelId="{A9CD1707-6129-4F99-9EAB-4F3252E29829}" type="presParOf" srcId="{18D74166-2BBB-409C-AAAA-5D9B558F1600}" destId="{8A0FC405-C37E-4370-8534-AF616B7A109F}" srcOrd="6" destOrd="0" presId="urn:microsoft.com/office/officeart/2005/8/layout/equation2"/>
    <dgm:cxn modelId="{C521D6D7-EFC8-48BD-84F8-7EF40FB31B65}" type="presParOf" srcId="{18D74166-2BBB-409C-AAAA-5D9B558F1600}" destId="{AF1D283B-CF6D-40B0-933F-B7EADAC2E6A5}" srcOrd="7" destOrd="0" presId="urn:microsoft.com/office/officeart/2005/8/layout/equation2"/>
    <dgm:cxn modelId="{958435F3-9E25-4D30-9E60-638E31CFEB69}" type="presParOf" srcId="{18D74166-2BBB-409C-AAAA-5D9B558F1600}" destId="{C62EF1C5-532A-4B8F-9BAC-9C35018861E0}" srcOrd="8" destOrd="0" presId="urn:microsoft.com/office/officeart/2005/8/layout/equation2"/>
    <dgm:cxn modelId="{732821BA-F3D9-439B-A551-6D8554D6C818}" type="presParOf" srcId="{18D74166-2BBB-409C-AAAA-5D9B558F1600}" destId="{421C5D42-43CD-4881-A264-747B6928EE35}" srcOrd="9" destOrd="0" presId="urn:microsoft.com/office/officeart/2005/8/layout/equation2"/>
    <dgm:cxn modelId="{17C2C7D9-C686-45F1-A85B-DA8D687836E5}" type="presParOf" srcId="{18D74166-2BBB-409C-AAAA-5D9B558F1600}" destId="{01FA6C29-E4CB-4A43-A61A-EB71F1D367F6}" srcOrd="10" destOrd="0" presId="urn:microsoft.com/office/officeart/2005/8/layout/equation2"/>
    <dgm:cxn modelId="{707F04F6-2130-4DE5-A460-AE90A6495498}" type="presParOf" srcId="{18D74166-2BBB-409C-AAAA-5D9B558F1600}" destId="{38766871-33FF-47D5-AD51-B1BFF8FDF625}" srcOrd="11" destOrd="0" presId="urn:microsoft.com/office/officeart/2005/8/layout/equation2"/>
    <dgm:cxn modelId="{74C4FC8E-2599-4FAC-980C-BDF20D5427D6}" type="presParOf" srcId="{18D74166-2BBB-409C-AAAA-5D9B558F1600}" destId="{8A886444-D1D2-4E88-BFE3-720A5F246587}" srcOrd="12" destOrd="0" presId="urn:microsoft.com/office/officeart/2005/8/layout/equation2"/>
    <dgm:cxn modelId="{4E7F4D08-ABB8-4E74-A81A-64703035F490}" type="presParOf" srcId="{18D74166-2BBB-409C-AAAA-5D9B558F1600}" destId="{E22C8A1A-7AD6-4AC0-BDA1-0527C3BA505C}" srcOrd="13" destOrd="0" presId="urn:microsoft.com/office/officeart/2005/8/layout/equation2"/>
    <dgm:cxn modelId="{BEB53906-0A12-4D6C-9B8B-9F2BB732D549}" type="presParOf" srcId="{18D74166-2BBB-409C-AAAA-5D9B558F1600}" destId="{7C8D8F2B-65A9-4D74-8ECB-BFD962C1D523}" srcOrd="14" destOrd="0" presId="urn:microsoft.com/office/officeart/2005/8/layout/equation2"/>
    <dgm:cxn modelId="{B49A1DFD-2CD1-4D60-879C-5875942A4891}" type="presParOf" srcId="{18D74166-2BBB-409C-AAAA-5D9B558F1600}" destId="{E1C8CAEA-C43D-43B7-8609-C651C16EFE4F}" srcOrd="15" destOrd="0" presId="urn:microsoft.com/office/officeart/2005/8/layout/equation2"/>
    <dgm:cxn modelId="{0544AA2E-7001-4641-9355-E260082D280F}" type="presParOf" srcId="{18D74166-2BBB-409C-AAAA-5D9B558F1600}" destId="{FB3B9CA0-9C5C-4FF0-A7FC-7A1ADC9F9D8B}" srcOrd="16" destOrd="0" presId="urn:microsoft.com/office/officeart/2005/8/layout/equation2"/>
    <dgm:cxn modelId="{8351BCBD-EDE6-4DD4-BF8A-40F919B26E8B}" type="presParOf" srcId="{B132C5EC-5098-436E-880D-E461C64A43F8}" destId="{ED69E7F1-9D9D-4749-A1DE-29439437F308}" srcOrd="1" destOrd="0" presId="urn:microsoft.com/office/officeart/2005/8/layout/equation2"/>
    <dgm:cxn modelId="{82E82F43-691D-4E37-8717-4BDE44B6AFC9}" type="presParOf" srcId="{ED69E7F1-9D9D-4749-A1DE-29439437F308}" destId="{917F52B2-6BCB-4FED-8B98-5963B6B303DB}" srcOrd="0" destOrd="0" presId="urn:microsoft.com/office/officeart/2005/8/layout/equation2"/>
    <dgm:cxn modelId="{C55B5F2B-C965-449B-9996-62752D2EE0D5}" type="presParOf" srcId="{B132C5EC-5098-436E-880D-E461C64A43F8}" destId="{A508E9C5-8E6D-4344-B5B8-CC6C9A496F57}" srcOrd="2" destOrd="0" presId="urn:microsoft.com/office/officeart/2005/8/layout/equation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049BD7-3F24-4F62-B0A6-2EFD766FF8BD}">
      <dsp:nvSpPr>
        <dsp:cNvPr id="0" name=""/>
        <dsp:cNvSpPr/>
      </dsp:nvSpPr>
      <dsp:spPr>
        <a:xfrm>
          <a:off x="752214" y="1314096"/>
          <a:ext cx="2370112" cy="914407"/>
        </a:xfrm>
        <a:prstGeom prst="ellipse">
          <a:avLst/>
        </a:prstGeom>
        <a:solidFill>
          <a:srgbClr val="7030A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Professional development reviews and individual development plans</a:t>
          </a:r>
        </a:p>
      </dsp:txBody>
      <dsp:txXfrm>
        <a:off x="1099309" y="1448008"/>
        <a:ext cx="1675922" cy="646583"/>
      </dsp:txXfrm>
    </dsp:sp>
    <dsp:sp modelId="{56C3EF66-5211-4473-B5F0-31519D68E595}">
      <dsp:nvSpPr>
        <dsp:cNvPr id="0" name=""/>
        <dsp:cNvSpPr/>
      </dsp:nvSpPr>
      <dsp:spPr>
        <a:xfrm>
          <a:off x="1806996" y="965573"/>
          <a:ext cx="349795" cy="349795"/>
        </a:xfrm>
        <a:prstGeom prst="mathPlus">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 lastClr="FFFFFF"/>
            </a:solidFill>
            <a:latin typeface="Calibri" panose="020F0502020204030204"/>
            <a:ea typeface="+mn-ea"/>
            <a:cs typeface="+mn-cs"/>
          </a:endParaRPr>
        </a:p>
      </dsp:txBody>
      <dsp:txXfrm>
        <a:off x="1853361" y="1099335"/>
        <a:ext cx="257065" cy="82271"/>
      </dsp:txXfrm>
    </dsp:sp>
    <dsp:sp modelId="{6D2269D4-D856-4D1A-9D93-3A54983EC333}">
      <dsp:nvSpPr>
        <dsp:cNvPr id="0" name=""/>
        <dsp:cNvSpPr/>
      </dsp:nvSpPr>
      <dsp:spPr>
        <a:xfrm>
          <a:off x="733684" y="55260"/>
          <a:ext cx="2531012" cy="861269"/>
        </a:xfrm>
        <a:prstGeom prst="ellipse">
          <a:avLst/>
        </a:prstGeom>
        <a:solidFill>
          <a:srgbClr val="92D05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Reflective and reflexive professional supervision</a:t>
          </a:r>
        </a:p>
      </dsp:txBody>
      <dsp:txXfrm>
        <a:off x="1104342" y="181390"/>
        <a:ext cx="1789696" cy="609009"/>
      </dsp:txXfrm>
    </dsp:sp>
    <dsp:sp modelId="{8A0FC405-C37E-4370-8534-AF616B7A109F}">
      <dsp:nvSpPr>
        <dsp:cNvPr id="0" name=""/>
        <dsp:cNvSpPr/>
      </dsp:nvSpPr>
      <dsp:spPr>
        <a:xfrm>
          <a:off x="1806996" y="2274580"/>
          <a:ext cx="349795" cy="349795"/>
        </a:xfrm>
        <a:prstGeom prst="mathPlus">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 lastClr="FFFFFF"/>
            </a:solidFill>
            <a:latin typeface="Calibri" panose="020F0502020204030204"/>
            <a:ea typeface="+mn-ea"/>
            <a:cs typeface="+mn-cs"/>
          </a:endParaRPr>
        </a:p>
      </dsp:txBody>
      <dsp:txXfrm>
        <a:off x="1853361" y="2408342"/>
        <a:ext cx="257065" cy="82271"/>
      </dsp:txXfrm>
    </dsp:sp>
    <dsp:sp modelId="{C62EF1C5-532A-4B8F-9BAC-9C35018861E0}">
      <dsp:nvSpPr>
        <dsp:cNvPr id="0" name=""/>
        <dsp:cNvSpPr/>
      </dsp:nvSpPr>
      <dsp:spPr>
        <a:xfrm>
          <a:off x="757790" y="2673347"/>
          <a:ext cx="2448207" cy="805223"/>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Formal, informal and naturally occurring learning opportunities</a:t>
          </a:r>
        </a:p>
      </dsp:txBody>
      <dsp:txXfrm>
        <a:off x="1116322" y="2791269"/>
        <a:ext cx="1731143" cy="569379"/>
      </dsp:txXfrm>
    </dsp:sp>
    <dsp:sp modelId="{01FA6C29-E4CB-4A43-A61A-EB71F1D367F6}">
      <dsp:nvSpPr>
        <dsp:cNvPr id="0" name=""/>
        <dsp:cNvSpPr/>
      </dsp:nvSpPr>
      <dsp:spPr>
        <a:xfrm>
          <a:off x="1806996" y="3527542"/>
          <a:ext cx="349795" cy="349795"/>
        </a:xfrm>
        <a:prstGeom prst="mathPlus">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 lastClr="FFFFFF"/>
            </a:solidFill>
            <a:latin typeface="Calibri" panose="020F0502020204030204"/>
            <a:ea typeface="+mn-ea"/>
            <a:cs typeface="+mn-cs"/>
          </a:endParaRPr>
        </a:p>
      </dsp:txBody>
      <dsp:txXfrm>
        <a:off x="1853361" y="3661304"/>
        <a:ext cx="257065" cy="82271"/>
      </dsp:txXfrm>
    </dsp:sp>
    <dsp:sp modelId="{8A886444-D1D2-4E88-BFE3-720A5F246587}">
      <dsp:nvSpPr>
        <dsp:cNvPr id="0" name=""/>
        <dsp:cNvSpPr/>
      </dsp:nvSpPr>
      <dsp:spPr>
        <a:xfrm>
          <a:off x="793077" y="3926309"/>
          <a:ext cx="2377633" cy="603095"/>
        </a:xfrm>
        <a:prstGeom prst="ellipse">
          <a:avLst/>
        </a:prstGeom>
        <a:solidFill>
          <a:srgbClr val="CF39C1"/>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 lastClr="FFFFFF"/>
              </a:solidFill>
              <a:latin typeface="Calibri" panose="020F0502020204030204"/>
              <a:ea typeface="+mn-ea"/>
              <a:cs typeface="+mn-cs"/>
            </a:rPr>
            <a:t>Multi-source feedback</a:t>
          </a:r>
        </a:p>
      </dsp:txBody>
      <dsp:txXfrm>
        <a:off x="1141273" y="4014630"/>
        <a:ext cx="1681241" cy="426453"/>
      </dsp:txXfrm>
    </dsp:sp>
    <dsp:sp modelId="{7C8D8F2B-65A9-4D74-8ECB-BFD962C1D523}">
      <dsp:nvSpPr>
        <dsp:cNvPr id="0" name=""/>
        <dsp:cNvSpPr/>
      </dsp:nvSpPr>
      <dsp:spPr>
        <a:xfrm>
          <a:off x="1806996" y="4578377"/>
          <a:ext cx="349795" cy="349795"/>
        </a:xfrm>
        <a:prstGeom prst="mathPlus">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 lastClr="FFFFFF"/>
            </a:solidFill>
            <a:latin typeface="Calibri" panose="020F0502020204030204"/>
            <a:ea typeface="+mn-ea"/>
            <a:cs typeface="+mn-cs"/>
          </a:endParaRPr>
        </a:p>
      </dsp:txBody>
      <dsp:txXfrm>
        <a:off x="1853361" y="4712139"/>
        <a:ext cx="257065" cy="82271"/>
      </dsp:txXfrm>
    </dsp:sp>
    <dsp:sp modelId="{FB3B9CA0-9C5C-4FF0-A7FC-7A1ADC9F9D8B}">
      <dsp:nvSpPr>
        <dsp:cNvPr id="0" name=""/>
        <dsp:cNvSpPr/>
      </dsp:nvSpPr>
      <dsp:spPr>
        <a:xfrm>
          <a:off x="760084" y="4952354"/>
          <a:ext cx="2463447" cy="764237"/>
        </a:xfrm>
        <a:prstGeom prst="ellipse">
          <a:avLst/>
        </a:prstGeom>
        <a:solidFill>
          <a:srgbClr val="FF00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Structured professional discussions</a:t>
          </a:r>
        </a:p>
      </dsp:txBody>
      <dsp:txXfrm>
        <a:off x="1120847" y="5064274"/>
        <a:ext cx="1741921" cy="540397"/>
      </dsp:txXfrm>
    </dsp:sp>
    <dsp:sp modelId="{ED69E7F1-9D9D-4749-A1DE-29439437F308}">
      <dsp:nvSpPr>
        <dsp:cNvPr id="0" name=""/>
        <dsp:cNvSpPr/>
      </dsp:nvSpPr>
      <dsp:spPr>
        <a:xfrm rot="21559529">
          <a:off x="3167382" y="2540900"/>
          <a:ext cx="793427" cy="788708"/>
        </a:xfrm>
        <a:prstGeom prst="mathEqual">
          <a:avLst/>
        </a:prstGeom>
        <a:solidFill>
          <a:sysClr val="windowText" lastClr="00000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solidFill>
              <a:sysClr val="window" lastClr="FFFFFF"/>
            </a:solidFill>
            <a:latin typeface="Calibri" panose="020F0502020204030204"/>
            <a:ea typeface="+mn-ea"/>
            <a:cs typeface="+mn-cs"/>
          </a:endParaRPr>
        </a:p>
      </dsp:txBody>
      <dsp:txXfrm>
        <a:off x="3272551" y="2703374"/>
        <a:ext cx="583089" cy="463760"/>
      </dsp:txXfrm>
    </dsp:sp>
    <dsp:sp modelId="{A508E9C5-8E6D-4344-B5B8-CC6C9A496F57}">
      <dsp:nvSpPr>
        <dsp:cNvPr id="0" name=""/>
        <dsp:cNvSpPr/>
      </dsp:nvSpPr>
      <dsp:spPr>
        <a:xfrm>
          <a:off x="3920671" y="1235690"/>
          <a:ext cx="1405864" cy="2870362"/>
        </a:xfrm>
        <a:prstGeom prst="ellipse">
          <a:avLst/>
        </a:prstGeom>
        <a:solidFill>
          <a:srgbClr val="FFC0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 lastClr="FFFFFF"/>
              </a:solidFill>
              <a:latin typeface="Calibri" panose="020F0502020204030204"/>
              <a:ea typeface="+mn-ea"/>
              <a:cs typeface="+mn-cs"/>
            </a:rPr>
            <a:t>Evidencing progress against the standards and CPL requirements</a:t>
          </a:r>
        </a:p>
      </dsp:txBody>
      <dsp:txXfrm>
        <a:off x="4126555" y="1656045"/>
        <a:ext cx="994096" cy="2029652"/>
      </dsp:txXfrm>
    </dsp:sp>
  </dsp:spTree>
</dsp:drawing>
</file>

<file path=word/diagrams/layout1.xml><?xml version="1.0" encoding="utf-8"?>
<dgm:layoutDef xmlns:dgm="http://schemas.openxmlformats.org/drawingml/2006/diagram" xmlns:a="http://schemas.openxmlformats.org/drawingml/2006/main" uniqueId="urn:microsoft.com/office/officeart/2005/8/layout/equation2">
  <dgm:title val=""/>
  <dgm:desc val=""/>
  <dgm:catLst>
    <dgm:cat type="relationship" pri="18000"/>
    <dgm:cat type="process" pri="2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linDir" val="fromL"/>
          <dgm:param type="fallback" val="2D"/>
        </dgm:alg>
      </dgm:if>
      <dgm:else name="Name3">
        <dgm:alg type="lin">
          <dgm:param type="linDir" val="fromR"/>
          <dgm:param type="fallback" val="2D"/>
        </dgm:alg>
      </dgm:else>
    </dgm:choose>
    <dgm:shape xmlns:r="http://schemas.openxmlformats.org/officeDocument/2006/relationships" r:blip="">
      <dgm:adjLst/>
    </dgm:shape>
    <dgm:presOf/>
    <dgm:choose name="Name4">
      <dgm:if name="Name5" axis="ch" ptType="node" func="cnt" op="gte" val="3">
        <dgm:constrLst>
          <dgm:constr type="h" for="des" forName="node" refType="w" fact="0.5"/>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ch" forName="lastNode" op="equ" val="65"/>
          <dgm:constr type="primFontSz" for="des" forName="node" op="equ" val="65"/>
          <dgm:constr type="primFontSz" for="des" forName="sibTrans" val="55"/>
          <dgm:constr type="primFontSz" for="des" forName="sibTrans" refType="primFontSz" refFor="des" refForName="node" op="lte" fact="0.8"/>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if>
      <dgm:else name="Name6">
        <dgm:constrLst>
          <dgm:constr type="h" for="des" forName="node" refType="w"/>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des" forName="node" val="65"/>
          <dgm:constr type="primFontSz" for="ch" forName="lastNode" refType="primFontSz" refFor="des" refForName="node" op="equ"/>
          <dgm:constr type="primFontSz" for="des" forName="sibTrans" val="55"/>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else>
    </dgm:choose>
    <dgm:ruleLst/>
    <dgm:choose name="Name7">
      <dgm:if name="Name8" axis="ch" ptType="node" func="cnt" op="gte" val="1">
        <dgm:layoutNode name="vNodes">
          <dgm:alg type="lin">
            <dgm:param type="linDir" val="fromT"/>
            <dgm:param type="fallback" val="2D"/>
          </dgm:alg>
          <dgm:shape xmlns:r="http://schemas.openxmlformats.org/officeDocument/2006/relationships" r:blip="">
            <dgm:adjLst/>
          </dgm:shape>
          <dgm:presOf/>
          <dgm:constrLst/>
          <dgm:ruleLst/>
          <dgm:forEach name="Name9" axis="ch" ptType="node">
            <dgm:choose name="Name10">
              <dgm:if name="Name11" axis="self" func="revPos" op="neq" val="1">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choose name="Name12">
                  <dgm:if name="Name13" axis="self" ptType="node" func="revPos" op="gt" val="2">
                    <dgm:forEach name="sibTransForEach" axis="followSib" ptType="sibTrans" cnt="1">
                      <dgm:layoutNode name="spacerT">
                        <dgm:alg type="sp"/>
                        <dgm:shape xmlns:r="http://schemas.openxmlformats.org/officeDocument/2006/relationships" r:blip="">
                          <dgm:adjLst/>
                        </dgm:shape>
                        <dgm:presOf axis="self"/>
                        <dgm:constrLst/>
                        <dgm:ruleLst/>
                      </dgm:layoutNode>
                      <dgm:layoutNode name="sibTrans">
                        <dgm:alg type="tx"/>
                        <dgm:shape xmlns:r="http://schemas.openxmlformats.org/officeDocument/2006/relationships" type="mathPlus" r:blip="">
                          <dgm:adjLst/>
                        </dgm:shape>
                        <dgm:presOf axis="self"/>
                        <dgm:constrLst>
                          <dgm:constr type="h" refType="w"/>
                          <dgm:constr type="lMarg"/>
                          <dgm:constr type="rMarg"/>
                          <dgm:constr type="tMarg"/>
                          <dgm:constr type="bMarg"/>
                        </dgm:constrLst>
                        <dgm:ruleLst>
                          <dgm:rule type="primFontSz" val="5" fact="NaN" max="NaN"/>
                        </dgm:ruleLst>
                      </dgm:layoutNode>
                      <dgm:layoutNode name="spacerB">
                        <dgm:alg type="sp"/>
                        <dgm:shape xmlns:r="http://schemas.openxmlformats.org/officeDocument/2006/relationships" r:blip="">
                          <dgm:adjLst/>
                        </dgm:shape>
                        <dgm:presOf axis="self"/>
                        <dgm:constrLst/>
                        <dgm:ruleLst/>
                      </dgm:layoutNode>
                    </dgm:forEach>
                  </dgm:if>
                  <dgm:else name="Name14"/>
                </dgm:choose>
              </dgm:if>
              <dgm:else name="Name15"/>
            </dgm:choose>
          </dgm:forEach>
        </dgm:layoutNode>
        <dgm:choose name="Name16">
          <dgm:if name="Name17" axis="ch" ptType="node" func="cnt" op="gt" val="1">
            <dgm:layoutNode name="sibTransLast">
              <dgm:alg type="conn">
                <dgm:param type="begPts" val="auto"/>
                <dgm:param type="endPts" val="auto"/>
                <dgm:param type="srcNode" val="vNodes"/>
                <dgm:param type="dstNode" val="lastNode"/>
              </dgm:alg>
              <dgm:shape xmlns:r="http://schemas.openxmlformats.org/officeDocument/2006/relationships" type="conn" r:blip="">
                <dgm:adjLst/>
              </dgm:shape>
              <dgm:presOf axis="ch" ptType="sibTrans" st="-1" cnt="1"/>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ch desOrSelf" ptType="sibTrans sibTrans" st="-1 1" cnt="1 0"/>
                <dgm:constrLst>
                  <dgm:constr type="lMarg"/>
                  <dgm:constr type="rMarg"/>
                  <dgm:constr type="tMarg"/>
                  <dgm:constr type="bMarg"/>
                </dgm:constrLst>
                <dgm:ruleLst>
                  <dgm:rule type="primFontSz" val="5" fact="NaN" max="NaN"/>
                </dgm:ruleLst>
              </dgm:layoutNode>
            </dgm:layoutNode>
          </dgm:if>
          <dgm:else name="Name18"/>
        </dgm:choose>
        <dgm:layoutNode name="lastNode">
          <dgm:varLst>
            <dgm:bulletEnabled val="1"/>
          </dgm:varLst>
          <dgm:alg type="tx">
            <dgm:param type="txAnchorVertCh" val="mid"/>
          </dgm:alg>
          <dgm:shape xmlns:r="http://schemas.openxmlformats.org/officeDocument/2006/relationships" type="ellipse" r:blip="">
            <dgm:adjLst/>
          </dgm:shape>
          <dgm:presOf axis="ch desOrSelf" ptType="node node" st="-1 1" cnt="1 0"/>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19"/>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28E66D11D541E597CEEA3AABB8744D"/>
        <w:category>
          <w:name w:val="General"/>
          <w:gallery w:val="placeholder"/>
        </w:category>
        <w:types>
          <w:type w:val="bbPlcHdr"/>
        </w:types>
        <w:behaviors>
          <w:behavior w:val="content"/>
        </w:behaviors>
        <w:guid w:val="{8A7CEF74-B9BB-41FF-B5F5-9788E1A0A0C2}"/>
      </w:docPartPr>
      <w:docPartBody>
        <w:p w:rsidR="003B0F8D" w:rsidRDefault="00227CF3" w:rsidP="00227CF3">
          <w:pPr>
            <w:pStyle w:val="4328E66D11D541E597CEEA3AABB8744D"/>
          </w:pPr>
          <w:r w:rsidRPr="00167194">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PYWZ B+ Swiss 721 BT">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CF3"/>
    <w:rsid w:val="001B319B"/>
    <w:rsid w:val="00227CF3"/>
    <w:rsid w:val="0026256C"/>
    <w:rsid w:val="00337A72"/>
    <w:rsid w:val="003B0F8D"/>
    <w:rsid w:val="003F3C12"/>
    <w:rsid w:val="00404E92"/>
    <w:rsid w:val="006F2A02"/>
    <w:rsid w:val="006F4780"/>
    <w:rsid w:val="0094482C"/>
    <w:rsid w:val="0096575E"/>
    <w:rsid w:val="00980CE5"/>
    <w:rsid w:val="00AC3AF6"/>
    <w:rsid w:val="00C110E7"/>
    <w:rsid w:val="00C66239"/>
    <w:rsid w:val="00D7199D"/>
    <w:rsid w:val="00E730AC"/>
    <w:rsid w:val="00FA2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328E66D11D541E597CEEA3AABB8744D">
    <w:name w:val="4328E66D11D541E597CEEA3AABB8744D"/>
    <w:rsid w:val="00227C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8478293995EF47BDBD08768A29B760" ma:contentTypeVersion="13" ma:contentTypeDescription="Create a new document." ma:contentTypeScope="" ma:versionID="9f35eb069127d9d33f79a28b4f04b0af">
  <xsd:schema xmlns:xsd="http://www.w3.org/2001/XMLSchema" xmlns:xs="http://www.w3.org/2001/XMLSchema" xmlns:p="http://schemas.microsoft.com/office/2006/metadata/properties" xmlns:ns2="30bcc762-93b5-45a2-97ca-9717681c1108" xmlns:ns3="218b97f0-d019-48ec-aee3-45630e752a10" targetNamespace="http://schemas.microsoft.com/office/2006/metadata/properties" ma:root="true" ma:fieldsID="43ba036023de7f4298c09f5cf972ce18" ns2:_="" ns3:_="">
    <xsd:import namespace="30bcc762-93b5-45a2-97ca-9717681c1108"/>
    <xsd:import namespace="218b97f0-d019-48ec-aee3-45630e752a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cc762-93b5-45a2-97ca-9717681c11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8b97f0-d019-48ec-aee3-45630e752a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18b97f0-d019-48ec-aee3-45630e752a10">
      <UserInfo>
        <DisplayName>Mariyam Khan</DisplayName>
        <AccountId>13</AccountId>
        <AccountType/>
      </UserInfo>
      <UserInfo>
        <DisplayName>Valeria Indyukova</DisplayName>
        <AccountId>21</AccountId>
        <AccountType/>
      </UserInfo>
      <UserInfo>
        <DisplayName>Alan Cormack</DisplayName>
        <AccountId>14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978E7-E16A-44CA-8215-6AFABD6A3EDD}"/>
</file>

<file path=customXml/itemProps2.xml><?xml version="1.0" encoding="utf-8"?>
<ds:datastoreItem xmlns:ds="http://schemas.openxmlformats.org/officeDocument/2006/customXml" ds:itemID="{8D4F60C9-1893-4AD1-AF2B-FDD293E22D36}">
  <ds:schemaRefs>
    <ds:schemaRef ds:uri="http://schemas.microsoft.com/office/2006/metadata/properties"/>
    <ds:schemaRef ds:uri="http://schemas.microsoft.com/office/infopath/2007/PartnerControls"/>
    <ds:schemaRef ds:uri="144c2c74-9b2a-44d3-b453-e5382af85e1a"/>
  </ds:schemaRefs>
</ds:datastoreItem>
</file>

<file path=customXml/itemProps3.xml><?xml version="1.0" encoding="utf-8"?>
<ds:datastoreItem xmlns:ds="http://schemas.openxmlformats.org/officeDocument/2006/customXml" ds:itemID="{33A05C7F-2124-4CE2-A743-FB4DAC2A7730}">
  <ds:schemaRefs>
    <ds:schemaRef ds:uri="http://schemas.microsoft.com/sharepoint/v3/contenttype/forms"/>
  </ds:schemaRefs>
</ds:datastoreItem>
</file>

<file path=customXml/itemProps4.xml><?xml version="1.0" encoding="utf-8"?>
<ds:datastoreItem xmlns:ds="http://schemas.openxmlformats.org/officeDocument/2006/customXml" ds:itemID="{A9C4D60E-94DC-4F67-919F-C7678D76D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2819</Words>
  <Characters>16070</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Overview of NQSW Supported Year for early implementation 2021-22</vt:lpstr>
    </vt:vector>
  </TitlesOfParts>
  <Company/>
  <LinksUpToDate>false</LinksUpToDate>
  <CharactersWithSpaces>18852</CharactersWithSpaces>
  <SharedDoc>false</SharedDoc>
  <HLinks>
    <vt:vector size="72" baseType="variant">
      <vt:variant>
        <vt:i4>1179711</vt:i4>
      </vt:variant>
      <vt:variant>
        <vt:i4>62</vt:i4>
      </vt:variant>
      <vt:variant>
        <vt:i4>0</vt:i4>
      </vt:variant>
      <vt:variant>
        <vt:i4>5</vt:i4>
      </vt:variant>
      <vt:variant>
        <vt:lpwstr/>
      </vt:variant>
      <vt:variant>
        <vt:lpwstr>_Toc72398937</vt:lpwstr>
      </vt:variant>
      <vt:variant>
        <vt:i4>1245247</vt:i4>
      </vt:variant>
      <vt:variant>
        <vt:i4>56</vt:i4>
      </vt:variant>
      <vt:variant>
        <vt:i4>0</vt:i4>
      </vt:variant>
      <vt:variant>
        <vt:i4>5</vt:i4>
      </vt:variant>
      <vt:variant>
        <vt:lpwstr/>
      </vt:variant>
      <vt:variant>
        <vt:lpwstr>_Toc72398936</vt:lpwstr>
      </vt:variant>
      <vt:variant>
        <vt:i4>1048639</vt:i4>
      </vt:variant>
      <vt:variant>
        <vt:i4>50</vt:i4>
      </vt:variant>
      <vt:variant>
        <vt:i4>0</vt:i4>
      </vt:variant>
      <vt:variant>
        <vt:i4>5</vt:i4>
      </vt:variant>
      <vt:variant>
        <vt:lpwstr/>
      </vt:variant>
      <vt:variant>
        <vt:lpwstr>_Toc72398935</vt:lpwstr>
      </vt:variant>
      <vt:variant>
        <vt:i4>1114175</vt:i4>
      </vt:variant>
      <vt:variant>
        <vt:i4>44</vt:i4>
      </vt:variant>
      <vt:variant>
        <vt:i4>0</vt:i4>
      </vt:variant>
      <vt:variant>
        <vt:i4>5</vt:i4>
      </vt:variant>
      <vt:variant>
        <vt:lpwstr/>
      </vt:variant>
      <vt:variant>
        <vt:lpwstr>_Toc72398934</vt:lpwstr>
      </vt:variant>
      <vt:variant>
        <vt:i4>1441855</vt:i4>
      </vt:variant>
      <vt:variant>
        <vt:i4>38</vt:i4>
      </vt:variant>
      <vt:variant>
        <vt:i4>0</vt:i4>
      </vt:variant>
      <vt:variant>
        <vt:i4>5</vt:i4>
      </vt:variant>
      <vt:variant>
        <vt:lpwstr/>
      </vt:variant>
      <vt:variant>
        <vt:lpwstr>_Toc72398933</vt:lpwstr>
      </vt:variant>
      <vt:variant>
        <vt:i4>1507391</vt:i4>
      </vt:variant>
      <vt:variant>
        <vt:i4>32</vt:i4>
      </vt:variant>
      <vt:variant>
        <vt:i4>0</vt:i4>
      </vt:variant>
      <vt:variant>
        <vt:i4>5</vt:i4>
      </vt:variant>
      <vt:variant>
        <vt:lpwstr/>
      </vt:variant>
      <vt:variant>
        <vt:lpwstr>_Toc72398932</vt:lpwstr>
      </vt:variant>
      <vt:variant>
        <vt:i4>1310783</vt:i4>
      </vt:variant>
      <vt:variant>
        <vt:i4>26</vt:i4>
      </vt:variant>
      <vt:variant>
        <vt:i4>0</vt:i4>
      </vt:variant>
      <vt:variant>
        <vt:i4>5</vt:i4>
      </vt:variant>
      <vt:variant>
        <vt:lpwstr/>
      </vt:variant>
      <vt:variant>
        <vt:lpwstr>_Toc72398931</vt:lpwstr>
      </vt:variant>
      <vt:variant>
        <vt:i4>1376319</vt:i4>
      </vt:variant>
      <vt:variant>
        <vt:i4>20</vt:i4>
      </vt:variant>
      <vt:variant>
        <vt:i4>0</vt:i4>
      </vt:variant>
      <vt:variant>
        <vt:i4>5</vt:i4>
      </vt:variant>
      <vt:variant>
        <vt:lpwstr/>
      </vt:variant>
      <vt:variant>
        <vt:lpwstr>_Toc72398930</vt:lpwstr>
      </vt:variant>
      <vt:variant>
        <vt:i4>1835070</vt:i4>
      </vt:variant>
      <vt:variant>
        <vt:i4>14</vt:i4>
      </vt:variant>
      <vt:variant>
        <vt:i4>0</vt:i4>
      </vt:variant>
      <vt:variant>
        <vt:i4>5</vt:i4>
      </vt:variant>
      <vt:variant>
        <vt:lpwstr/>
      </vt:variant>
      <vt:variant>
        <vt:lpwstr>_Toc72398929</vt:lpwstr>
      </vt:variant>
      <vt:variant>
        <vt:i4>1900606</vt:i4>
      </vt:variant>
      <vt:variant>
        <vt:i4>8</vt:i4>
      </vt:variant>
      <vt:variant>
        <vt:i4>0</vt:i4>
      </vt:variant>
      <vt:variant>
        <vt:i4>5</vt:i4>
      </vt:variant>
      <vt:variant>
        <vt:lpwstr/>
      </vt:variant>
      <vt:variant>
        <vt:lpwstr>_Toc72398928</vt:lpwstr>
      </vt:variant>
      <vt:variant>
        <vt:i4>1179710</vt:i4>
      </vt:variant>
      <vt:variant>
        <vt:i4>2</vt:i4>
      </vt:variant>
      <vt:variant>
        <vt:i4>0</vt:i4>
      </vt:variant>
      <vt:variant>
        <vt:i4>5</vt:i4>
      </vt:variant>
      <vt:variant>
        <vt:lpwstr/>
      </vt:variant>
      <vt:variant>
        <vt:lpwstr>_Toc72398927</vt:lpwstr>
      </vt:variant>
      <vt:variant>
        <vt:i4>5111896</vt:i4>
      </vt:variant>
      <vt:variant>
        <vt:i4>0</vt:i4>
      </vt:variant>
      <vt:variant>
        <vt:i4>0</vt:i4>
      </vt:variant>
      <vt:variant>
        <vt:i4>5</vt:i4>
      </vt:variant>
      <vt:variant>
        <vt:lpwstr>https://www.sssc.uk.com/supporting-the-workforce/newly-qualified-social-workers/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 of NQSW Supported Year for early implementation 2021-22</dc:title>
  <dc:subject/>
  <dc:creator>Liza Noble</dc:creator>
  <cp:keywords/>
  <dc:description/>
  <cp:lastModifiedBy>Sandra Wilson</cp:lastModifiedBy>
  <cp:revision>2</cp:revision>
  <dcterms:created xsi:type="dcterms:W3CDTF">2021-05-24T15:11:00Z</dcterms:created>
  <dcterms:modified xsi:type="dcterms:W3CDTF">2021-05-24T15:11:00Z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0x0101000E8478293995EF47BDBD08768A29B760</vt:lpwstr>
  </property>
</Properties>
</file>